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R2-2307734</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Toulouse, France, August 21-25, 2023</w:t>
      </w:r>
    </w:p>
    <w:p>
      <w:pPr>
        <w:overflowPunct w:val="0"/>
        <w:autoSpaceDE w:val="0"/>
        <w:autoSpaceDN w:val="0"/>
        <w:adjustRightInd w:val="0"/>
        <w:snapToGrid w:val="0"/>
        <w:spacing w:line="240" w:lineRule="auto"/>
        <w:jc w:val="left"/>
        <w:textAlignment w:val="baseline"/>
        <w:rPr>
          <w:rFonts w:ascii="Arial" w:hAnsi="Arial" w:eastAsia="宋体"/>
          <w:b/>
          <w:bCs/>
          <w:sz w:val="24"/>
          <w:lang w:val="en-GB"/>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h</w:t>
      </w:r>
      <w:r>
        <w:rPr>
          <w:rFonts w:hint="eastAsia" w:ascii="Arial" w:hAnsi="Arial" w:cs="Arial"/>
          <w:b/>
          <w:bCs/>
          <w:snapToGrid w:val="0"/>
          <w:kern w:val="0"/>
          <w:sz w:val="24"/>
        </w:rPr>
        <w:t xml:space="preserve">eight-dependent </w:t>
      </w:r>
      <w:r>
        <w:rPr>
          <w:rFonts w:hint="eastAsia" w:ascii="Arial" w:hAnsi="Arial" w:cs="Arial"/>
          <w:b/>
          <w:bCs/>
          <w:snapToGrid w:val="0"/>
          <w:kern w:val="0"/>
          <w:sz w:val="24"/>
          <w:lang w:val="en-US" w:eastAsia="zh-CN"/>
        </w:rPr>
        <w:t xml:space="preserve">SSB-ToMeasure </w:t>
      </w:r>
      <w:r>
        <w:rPr>
          <w:rFonts w:hint="eastAsia" w:ascii="Arial" w:hAnsi="Arial" w:cs="Arial"/>
          <w:b/>
          <w:bCs/>
          <w:snapToGrid w:val="0"/>
          <w:kern w:val="0"/>
          <w:sz w:val="24"/>
        </w:rPr>
        <w:t>configuration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eastAsia" w:eastAsiaTheme="minorEastAsia"/>
          <w:szCs w:val="21"/>
          <w:lang w:val="en-US" w:eastAsia="zh-CN"/>
        </w:rPr>
      </w:pPr>
      <w:r>
        <w:rPr>
          <w:rFonts w:hint="eastAsia"/>
          <w:szCs w:val="21"/>
        </w:rPr>
        <w:t>In RAN2#121</w:t>
      </w:r>
      <w:r>
        <w:rPr>
          <w:rFonts w:hint="eastAsia"/>
          <w:szCs w:val="21"/>
          <w:lang w:val="en-US" w:eastAsia="zh-CN"/>
        </w:rPr>
        <w:t>bis-e</w:t>
      </w:r>
      <w:r>
        <w:rPr>
          <w:rFonts w:hint="eastAsia"/>
          <w:szCs w:val="21"/>
        </w:rPr>
        <w:t xml:space="preserve"> </w:t>
      </w:r>
      <w:r>
        <w:rPr>
          <w:szCs w:val="21"/>
        </w:rPr>
        <w:t>meeting [</w:t>
      </w:r>
      <w:r>
        <w:rPr>
          <w:rFonts w:hint="eastAsia"/>
          <w:szCs w:val="21"/>
        </w:rPr>
        <w:t>1], following agreements were reached</w:t>
      </w:r>
      <w:r>
        <w:rPr>
          <w:rFonts w:hint="eastAsia"/>
          <w:szCs w:val="21"/>
          <w:lang w:val="en-US" w:eastAsia="zh-CN"/>
        </w:rPr>
        <w:t>:</w:t>
      </w:r>
    </w:p>
    <w:p>
      <w:pPr>
        <w:pStyle w:val="68"/>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b/>
          <w:bCs/>
          <w:sz w:val="21"/>
          <w:szCs w:val="21"/>
        </w:rPr>
      </w:pPr>
      <w:bookmarkStart w:id="2" w:name="OLE_LINK1"/>
      <w:r>
        <w:rPr>
          <w:rFonts w:ascii="Times New Roman" w:hAnsi="Times New Roman"/>
          <w:b/>
          <w:bCs/>
          <w:sz w:val="21"/>
          <w:szCs w:val="21"/>
        </w:rPr>
        <w:t>Agreements</w:t>
      </w:r>
    </w:p>
    <w:p>
      <w:pPr>
        <w:pStyle w:val="68"/>
        <w:keepNext w:val="0"/>
        <w:keepLines w:val="0"/>
        <w:pageBreakBefore w:val="0"/>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sz w:val="21"/>
          <w:szCs w:val="21"/>
        </w:rPr>
      </w:pPr>
      <w:r>
        <w:rPr>
          <w:rFonts w:ascii="Times New Roman" w:hAnsi="Times New Roman"/>
          <w:sz w:val="21"/>
          <w:szCs w:val="21"/>
        </w:rPr>
        <w:t>Height-dependent more-than-one configurations is supported on parameter/field level (i.e. different fields/values within the same MO) where different values (or value ranges) of the parameter/field applies to different height or height range.</w:t>
      </w:r>
    </w:p>
    <w:p>
      <w:pPr>
        <w:pStyle w:val="68"/>
        <w:keepNext w:val="0"/>
        <w:keepLines w:val="0"/>
        <w:pageBreakBefore w:val="0"/>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sz w:val="21"/>
          <w:szCs w:val="21"/>
        </w:rPr>
      </w:pPr>
      <w:r>
        <w:rPr>
          <w:rFonts w:ascii="Times New Roman" w:hAnsi="Times New Roman"/>
          <w:sz w:val="21"/>
          <w:szCs w:val="21"/>
        </w:rPr>
        <w:t>For MO configuration parameters: at least the following will have ability to be configured with height-dependent more-than-one configurations/values, each for a specific height region: SSB-ToMeasure</w:t>
      </w:r>
      <w:r>
        <w:rPr>
          <w:rFonts w:ascii="Times New Roman" w:hAnsi="Times New Roman"/>
          <w:sz w:val="21"/>
          <w:szCs w:val="21"/>
          <w:highlight w:val="none"/>
        </w:rPr>
        <w:t>. Details on how to specify is FFS.    FFS on UE behavior on L1 and L3 measurement.</w:t>
      </w:r>
    </w:p>
    <w:p>
      <w:pPr>
        <w:pStyle w:val="68"/>
        <w:keepNext w:val="0"/>
        <w:keepLines w:val="0"/>
        <w:pageBreakBefore w:val="0"/>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iCs/>
          <w:sz w:val="21"/>
          <w:szCs w:val="21"/>
        </w:rPr>
      </w:pPr>
      <w:bookmarkStart w:id="3" w:name="_Hlk134480185"/>
      <w:bookmarkStart w:id="4" w:name="_Hlk134480208"/>
      <w:r>
        <w:rPr>
          <w:rFonts w:ascii="Times New Roman" w:hAnsi="Times New Roman"/>
          <w:sz w:val="21"/>
          <w:szCs w:val="21"/>
          <w:highlight w:val="none"/>
        </w:rPr>
        <w:t xml:space="preserve"> For MR configuration parameters: at least the following will have ability to be configured with height-dependent more-than-one configurations/values, each for a specific height region: Event A4 threshold and numberoftriggeringcells.</w:t>
      </w:r>
      <w:r>
        <w:rPr>
          <w:rFonts w:ascii="Times New Roman" w:hAnsi="Times New Roman"/>
          <w:iCs/>
          <w:sz w:val="21"/>
          <w:szCs w:val="21"/>
          <w:highlight w:val="none"/>
        </w:rPr>
        <w:t xml:space="preserve">  Details on how to specify is FFS (i.e. maybe it can be achieved by combination of events).</w:t>
      </w:r>
      <w:bookmarkEnd w:id="3"/>
      <w:r>
        <w:rPr>
          <w:rFonts w:ascii="Times New Roman" w:hAnsi="Times New Roman"/>
          <w:iCs/>
          <w:sz w:val="21"/>
          <w:szCs w:val="21"/>
          <w:highlight w:val="none"/>
        </w:rPr>
        <w:t xml:space="preserve"> </w:t>
      </w:r>
      <w:bookmarkEnd w:id="4"/>
      <w:r>
        <w:rPr>
          <w:rFonts w:ascii="Times New Roman" w:hAnsi="Times New Roman"/>
          <w:iCs/>
          <w:sz w:val="21"/>
          <w:szCs w:val="21"/>
          <w:highlight w:val="none"/>
        </w:rPr>
        <w:t xml:space="preserve">  </w:t>
      </w:r>
    </w:p>
    <w:p>
      <w:pPr>
        <w:pStyle w:val="68"/>
        <w:keepNext w:val="0"/>
        <w:keepLines w:val="0"/>
        <w:pageBreakBefore w:val="0"/>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sz w:val="21"/>
          <w:szCs w:val="21"/>
        </w:rPr>
      </w:pPr>
      <w:r>
        <w:rPr>
          <w:rFonts w:ascii="Times New Roman" w:hAnsi="Times New Roman"/>
          <w:sz w:val="21"/>
          <w:szCs w:val="21"/>
        </w:rPr>
        <w:t xml:space="preserve">When height-dependent more-than-one configurations are provided, UE applies the new value once it moves to new height (or height range) </w:t>
      </w:r>
      <w:r>
        <w:rPr>
          <w:rFonts w:ascii="Times New Roman" w:hAnsi="Times New Roman"/>
          <w:sz w:val="21"/>
          <w:szCs w:val="21"/>
          <w:highlight w:val="none"/>
        </w:rPr>
        <w:t>similar to the case of RRC reconfiguration</w:t>
      </w:r>
      <w:r>
        <w:rPr>
          <w:rFonts w:ascii="Times New Roman" w:hAnsi="Times New Roman"/>
          <w:sz w:val="21"/>
          <w:szCs w:val="21"/>
        </w:rPr>
        <w:t>. Need Codes, field descriptions, etc. as in legacy specifications apply</w:t>
      </w:r>
    </w:p>
    <w:p>
      <w:pPr>
        <w:pStyle w:val="68"/>
        <w:keepNext w:val="0"/>
        <w:keepLines w:val="0"/>
        <w:pageBreakBefore w:val="0"/>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val="0"/>
        <w:spacing w:after="120" w:line="240" w:lineRule="auto"/>
        <w:textAlignment w:val="auto"/>
        <w:rPr>
          <w:rFonts w:ascii="Times New Roman" w:hAnsi="Times New Roman"/>
          <w:sz w:val="21"/>
          <w:szCs w:val="21"/>
        </w:rPr>
      </w:pPr>
      <w:r>
        <w:rPr>
          <w:rFonts w:ascii="Times New Roman" w:hAnsi="Times New Roman"/>
          <w:sz w:val="21"/>
          <w:szCs w:val="21"/>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w:t>
      </w:r>
      <w:r>
        <w:rPr>
          <w:rFonts w:ascii="Times New Roman" w:hAnsi="Times New Roman"/>
          <w:sz w:val="21"/>
          <w:szCs w:val="21"/>
          <w:highlight w:val="none"/>
        </w:rPr>
        <w:t>d.   FFS details</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szCs w:val="21"/>
          <w:lang w:val="en-US" w:eastAsia="zh-CN"/>
        </w:rPr>
      </w:pPr>
      <w:r>
        <w:rPr>
          <w:rFonts w:hint="eastAsia"/>
          <w:szCs w:val="21"/>
          <w:lang w:val="en-US" w:eastAsia="zh-CN"/>
        </w:rPr>
        <w:t>In RAN2#122[2], following agreements were reached:</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ind w:left="1622" w:hanging="363"/>
        <w:textAlignment w:val="auto"/>
        <w:rPr>
          <w:rFonts w:hint="default" w:ascii="Times New Roman" w:hAnsi="Times New Roman" w:eastAsia="MS Mincho" w:cs="Times New Roman"/>
          <w:b/>
          <w:bCs/>
          <w:sz w:val="20"/>
          <w:szCs w:val="20"/>
          <w:lang w:val="en-GB" w:eastAsia="en-GB"/>
        </w:rPr>
      </w:pPr>
      <w:r>
        <w:rPr>
          <w:rFonts w:hint="default" w:ascii="Times New Roman" w:hAnsi="Times New Roman" w:eastAsia="MS Mincho" w:cs="Times New Roman"/>
          <w:b/>
          <w:bCs/>
          <w:sz w:val="20"/>
          <w:szCs w:val="20"/>
          <w:lang w:val="en-GB" w:eastAsia="en-GB"/>
        </w:rPr>
        <w:t>Agreements</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Add height-b</w:t>
      </w:r>
      <w:r>
        <w:rPr>
          <w:rFonts w:hint="default" w:ascii="Times New Roman" w:hAnsi="Times New Roman" w:eastAsia="MS Mincho" w:cs="Times New Roman"/>
          <w:sz w:val="20"/>
          <w:szCs w:val="20"/>
          <w:highlight w:val="none"/>
          <w:lang w:val="en-GB" w:eastAsia="en-GB"/>
        </w:rPr>
        <w:t xml:space="preserve">ased list of SSB-ToMeasure with corresponding height ranges and hysteresis in MeasObjectNR.  FFS on the number of height ranges </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 xml:space="preserve">As a basic principle, if no height-specific SSB-ToMeasure is configured for a specific height region, the legacy behaviour applies.  </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For UE behavior on L1 and L3 measurement, it is left to UE implementation whether to keep/discard the old samples while UE moves to a new height region with a different SSB-ToMeasure value</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New event types will be introduced on the combination of event Ax and event Hx, at least for event A4 + event H1/H2.</w:t>
      </w:r>
      <w:r>
        <w:rPr>
          <w:rFonts w:hint="default" w:ascii="Times New Roman" w:hAnsi="Times New Roman" w:eastAsia="MS Mincho" w:cs="Times New Roman"/>
          <w:sz w:val="20"/>
          <w:szCs w:val="20"/>
          <w:highlight w:val="none"/>
          <w:u w:val="none"/>
          <w:lang w:val="en-GB" w:eastAsia="en-GB"/>
        </w:rPr>
        <w:t xml:space="preserve"> FFS for other event Ax + event H1/H2. FFS on details, e.g. whether to include one height threshold (H1 or H2 threshold) or a height range (both H1 and H2 threshold) in the new event, how to configure height-dependent numberOfTriggeringCells, etc. </w:t>
      </w:r>
      <w:r>
        <w:rPr>
          <w:rFonts w:hint="default" w:ascii="Times New Roman" w:hAnsi="Times New Roman" w:eastAsia="MS Mincho" w:cs="Times New Roman"/>
          <w:sz w:val="20"/>
          <w:szCs w:val="20"/>
          <w:lang w:val="en-GB" w:eastAsia="en-GB"/>
        </w:rPr>
        <w:t xml:space="preserve">   This will be applied to all height dependent MR parameters.  </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Whether UE height is included when UAV specific MR is triggered is configurable by the network.</w:t>
      </w:r>
    </w:p>
    <w:p>
      <w:pPr>
        <w:keepNext w:val="0"/>
        <w:keepLines w:val="0"/>
        <w:pageBreakBefore w:val="0"/>
        <w:widowControl w:val="0"/>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val="en-GB" w:eastAsia="en-GB"/>
        </w:rPr>
      </w:pPr>
      <w:r>
        <w:rPr>
          <w:rFonts w:hint="default" w:ascii="Times New Roman" w:hAnsi="Times New Roman" w:eastAsia="MS Mincho" w:cs="Times New Roman"/>
          <w:sz w:val="20"/>
          <w:szCs w:val="20"/>
          <w:lang w:val="en-GB" w:eastAsia="en-GB"/>
        </w:rPr>
        <w:t>We will use LTE UEheight.</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szCs w:val="21"/>
        </w:rPr>
      </w:pPr>
      <w:r>
        <w:rPr>
          <w:rFonts w:hint="eastAsia"/>
          <w:szCs w:val="21"/>
        </w:rPr>
        <w:t>There are still some FFS issues</w:t>
      </w:r>
      <w:r>
        <w:rPr>
          <w:rFonts w:hint="eastAsia"/>
          <w:szCs w:val="21"/>
          <w:lang w:val="en-US" w:eastAsia="zh-CN"/>
        </w:rPr>
        <w:t xml:space="preserve"> related to height-dependent SSB-ToMeasure configuration.</w:t>
      </w:r>
      <w:r>
        <w:rPr>
          <w:rFonts w:hint="eastAsia"/>
          <w:szCs w:val="21"/>
        </w:rPr>
        <w:t xml:space="preserve"> </w:t>
      </w: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w:t>
      </w:r>
      <w:r>
        <w:rPr>
          <w:szCs w:val="21"/>
        </w:rPr>
        <w:t xml:space="preserve">FFS issues </w:t>
      </w:r>
      <w:r>
        <w:rPr>
          <w:rFonts w:hint="eastAsia"/>
          <w:szCs w:val="21"/>
          <w:lang w:val="en-US" w:eastAsia="zh-CN"/>
        </w:rPr>
        <w:t xml:space="preserve">and remaining issues </w:t>
      </w:r>
      <w:r>
        <w:rPr>
          <w:szCs w:val="21"/>
        </w:rPr>
        <w:t>based on the agreements reached in previous meetings.</w:t>
      </w:r>
      <w:r>
        <w:rPr>
          <w:rFonts w:hint="eastAsia"/>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eastAsiaTheme="minorEastAsia"/>
          <w:sz w:val="21"/>
          <w:szCs w:val="21"/>
          <w:lang w:val="en-US" w:eastAsia="zh-CN"/>
        </w:rPr>
      </w:pPr>
      <w:r>
        <w:rPr>
          <w:rFonts w:hint="eastAsia"/>
          <w:sz w:val="21"/>
          <w:szCs w:val="21"/>
          <w:lang w:val="en-US" w:eastAsia="zh-CN"/>
        </w:rPr>
        <w:t>In last RAN2 meeting[2], following agreement is reached about the height-dependent SSB-ToMeasure:</w:t>
      </w:r>
    </w:p>
    <w:p>
      <w:pPr>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120" w:line="240" w:lineRule="auto"/>
        <w:textAlignment w:val="auto"/>
        <w:rPr>
          <w:rFonts w:hint="default" w:ascii="Times New Roman" w:hAnsi="Times New Roman" w:eastAsia="MS Mincho" w:cs="Times New Roman"/>
          <w:sz w:val="21"/>
          <w:szCs w:val="21"/>
          <w:lang w:val="en-GB" w:eastAsia="en-GB"/>
        </w:rPr>
      </w:pPr>
      <w:r>
        <w:rPr>
          <w:rFonts w:hint="default" w:ascii="Times New Roman" w:hAnsi="Times New Roman" w:eastAsia="MS Mincho" w:cs="Times New Roman"/>
          <w:sz w:val="21"/>
          <w:szCs w:val="21"/>
          <w:lang w:val="en-GB" w:eastAsia="en-GB"/>
        </w:rPr>
        <w:t xml:space="preserve">Add height-based list of SSB-ToMeasure with corresponding height ranges and hysteresis in MeasObjectNR.  </w:t>
      </w:r>
      <w:r>
        <w:rPr>
          <w:rFonts w:hint="default" w:ascii="Times New Roman" w:hAnsi="Times New Roman" w:eastAsia="MS Mincho" w:cs="Times New Roman"/>
          <w:sz w:val="21"/>
          <w:szCs w:val="21"/>
          <w:highlight w:val="cyan"/>
          <w:lang w:val="en-GB" w:eastAsia="en-GB"/>
        </w:rPr>
        <w:t xml:space="preserve">FFS on the number of height ranges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sz w:val="21"/>
          <w:szCs w:val="21"/>
          <w:lang w:val="en-US" w:eastAsia="zh-CN"/>
        </w:rPr>
      </w:pPr>
      <w:r>
        <w:rPr>
          <w:rFonts w:hint="eastAsia"/>
          <w:sz w:val="21"/>
          <w:szCs w:val="21"/>
          <w:lang w:val="en-US" w:eastAsia="zh-CN"/>
        </w:rPr>
        <w:t>In our understanding, it is more flexible and future proof to allow more than one height range. Although in previous meetings, only above/below rooftop case is discussed, the real radio environment may be more complicated. Thus we propose RAN2 to agree that more than two height ranges can be configured. The exact maximum height range number can be left to stage-3.</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 w:val="21"/>
          <w:szCs w:val="21"/>
          <w:lang w:val="en-US" w:eastAsia="zh-CN"/>
        </w:rPr>
      </w:pPr>
      <w:r>
        <w:rPr>
          <w:rFonts w:hint="eastAsia"/>
          <w:b/>
          <w:bCs/>
          <w:sz w:val="21"/>
          <w:szCs w:val="21"/>
          <w:lang w:val="en-US" w:eastAsia="zh-CN"/>
        </w:rPr>
        <w:t>Proposal 1: The number of height ranges can be more than two. The maximum height range number can be decided in stage-3.</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sz w:val="21"/>
          <w:szCs w:val="21"/>
          <w:lang w:val="en-US" w:eastAsia="zh-CN"/>
        </w:rPr>
      </w:pPr>
      <w:r>
        <w:rPr>
          <w:rFonts w:hint="eastAsia"/>
          <w:sz w:val="21"/>
          <w:szCs w:val="21"/>
          <w:lang w:val="en-US" w:eastAsia="zh-CN"/>
        </w:rPr>
        <w:t>In LTE</w:t>
      </w:r>
      <w:r>
        <w:rPr>
          <w:rFonts w:hint="default"/>
          <w:sz w:val="21"/>
          <w:szCs w:val="21"/>
          <w:lang w:val="en-US" w:eastAsia="zh-CN"/>
        </w:rPr>
        <w:t>’</w:t>
      </w:r>
      <w:r>
        <w:rPr>
          <w:rFonts w:hint="eastAsia"/>
          <w:sz w:val="21"/>
          <w:szCs w:val="21"/>
          <w:lang w:val="en-US" w:eastAsia="zh-CN"/>
        </w:rPr>
        <w:t xml:space="preserve">s event H1 and H2, hysteresis is applied for both entering condition and leaving condition. For the hysteresis associated with height-dependent </w:t>
      </w:r>
      <w:r>
        <w:rPr>
          <w:rFonts w:hint="eastAsia"/>
          <w:i/>
          <w:iCs/>
          <w:sz w:val="21"/>
          <w:szCs w:val="21"/>
          <w:lang w:val="en-US" w:eastAsia="zh-CN"/>
        </w:rPr>
        <w:t>SSB-ToMeasure</w:t>
      </w:r>
      <w:r>
        <w:rPr>
          <w:rFonts w:hint="eastAsia"/>
          <w:sz w:val="21"/>
          <w:szCs w:val="21"/>
          <w:lang w:val="en-US" w:eastAsia="zh-CN"/>
        </w:rPr>
        <w:t xml:space="preserve">, we think it should be applied when UAV UE flying in and flying out of the associated height range. And for simplicity, only one hysteresis is needed for a height range. </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 w:val="21"/>
          <w:szCs w:val="21"/>
          <w:lang w:val="en-US" w:eastAsia="zh-CN"/>
        </w:rPr>
      </w:pPr>
      <w:r>
        <w:rPr>
          <w:rFonts w:hint="eastAsia"/>
          <w:b/>
          <w:bCs/>
          <w:sz w:val="21"/>
          <w:szCs w:val="21"/>
          <w:lang w:val="en-US" w:eastAsia="zh-CN"/>
        </w:rPr>
        <w:t>Proposal 2: Hysteresis is applied for both entering and leaving a height range. Only one hysteresis is configured for a height range.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sz w:val="21"/>
          <w:szCs w:val="21"/>
          <w:lang w:val="en-US" w:eastAsia="zh-CN"/>
        </w:rPr>
      </w:pPr>
      <w:r>
        <w:rPr>
          <w:rFonts w:hint="eastAsia"/>
          <w:sz w:val="21"/>
          <w:szCs w:val="21"/>
          <w:lang w:val="en-US" w:eastAsia="zh-CN"/>
        </w:rPr>
        <w:t>If more than two height ranges are configured, one issue is whether the height ranges share same hysteresis value. Considering the hysteresis is intended to avoid ping-pong issue, and ping-pong issue is irrelevant to flying height, we think it is enough to share same hysteresis value for all height ranges. And to have same hysteresis value is also helpful to avoid height range overlapping.</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 w:val="21"/>
          <w:szCs w:val="21"/>
          <w:lang w:val="en-US" w:eastAsia="zh-CN"/>
        </w:rPr>
      </w:pPr>
      <w:r>
        <w:rPr>
          <w:rFonts w:hint="eastAsia"/>
          <w:b/>
          <w:bCs/>
          <w:sz w:val="21"/>
          <w:szCs w:val="21"/>
          <w:lang w:val="en-US" w:eastAsia="zh-CN"/>
        </w:rPr>
        <w:t>Proposal 3: If more than two height ranges are configured, one hysteresis value is shared by all height ranges.</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eastAsia"/>
          <w:sz w:val="21"/>
          <w:szCs w:val="21"/>
          <w:lang w:val="en-US" w:eastAsia="zh-CN"/>
        </w:rPr>
      </w:pPr>
      <w:r>
        <w:rPr>
          <w:rFonts w:hint="eastAsia"/>
          <w:sz w:val="21"/>
          <w:szCs w:val="21"/>
          <w:lang w:val="en-US" w:eastAsia="zh-CN"/>
        </w:rPr>
        <w:t>If more than two height range can be configured, the adjacent height ranges may be overlapped, i.e. the maximum height of a range is smaller than the adjacent height range</w:t>
      </w:r>
      <w:r>
        <w:rPr>
          <w:rFonts w:hint="default"/>
          <w:sz w:val="21"/>
          <w:szCs w:val="21"/>
          <w:lang w:val="en-US" w:eastAsia="zh-CN"/>
        </w:rPr>
        <w:t>’</w:t>
      </w:r>
      <w:r>
        <w:rPr>
          <w:rFonts w:hint="eastAsia"/>
          <w:sz w:val="21"/>
          <w:szCs w:val="21"/>
          <w:lang w:val="en-US" w:eastAsia="zh-CN"/>
        </w:rPr>
        <w:t xml:space="preserve">s minimal height. </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sz w:val="21"/>
          <w:szCs w:val="21"/>
          <w:lang w:val="en-US" w:eastAsia="zh-CN"/>
        </w:rPr>
      </w:pPr>
      <w:r>
        <w:rPr>
          <w:rFonts w:hint="eastAsia"/>
          <w:sz w:val="21"/>
          <w:szCs w:val="21"/>
          <w:lang w:val="en-US" w:eastAsia="zh-CN"/>
        </w:rPr>
        <w:t xml:space="preserve">This case is confusing for the UE to determine which </w:t>
      </w:r>
      <w:r>
        <w:rPr>
          <w:rFonts w:hint="eastAsia"/>
          <w:i/>
          <w:iCs/>
          <w:sz w:val="21"/>
          <w:szCs w:val="21"/>
          <w:lang w:val="en-US" w:eastAsia="zh-CN"/>
        </w:rPr>
        <w:t xml:space="preserve">SSB-ToMeasure </w:t>
      </w:r>
      <w:r>
        <w:rPr>
          <w:rFonts w:hint="eastAsia"/>
          <w:sz w:val="21"/>
          <w:szCs w:val="21"/>
          <w:lang w:val="en-US" w:eastAsia="zh-CN"/>
        </w:rPr>
        <w:t xml:space="preserve">configuration is applied. And overlapping in height range is contradictory to the intention of height dependent </w:t>
      </w:r>
      <w:r>
        <w:rPr>
          <w:rFonts w:hint="eastAsia"/>
          <w:i/>
          <w:iCs/>
          <w:sz w:val="21"/>
          <w:szCs w:val="21"/>
          <w:lang w:val="en-US" w:eastAsia="zh-CN"/>
        </w:rPr>
        <w:t xml:space="preserve">SSB-ToMeasure </w:t>
      </w:r>
      <w:r>
        <w:rPr>
          <w:rFonts w:hint="eastAsia"/>
          <w:sz w:val="21"/>
          <w:szCs w:val="21"/>
          <w:lang w:val="en-US" w:eastAsia="zh-CN"/>
        </w:rPr>
        <w:t>mechanism, i.e. to reduce unnecessary beam measurement. So we suggest RAN2 to decide whether such overlapping in height ranges is allowed.</w:t>
      </w:r>
    </w:p>
    <w:p>
      <w:pPr>
        <w:keepNext w:val="0"/>
        <w:keepLines w:val="0"/>
        <w:pageBreakBefore w:val="0"/>
        <w:numPr>
          <w:ilvl w:val="0"/>
          <w:numId w:val="0"/>
        </w:numPr>
        <w:kinsoku/>
        <w:wordWrap/>
        <w:overflowPunct/>
        <w:topLinePunct w:val="0"/>
        <w:autoSpaceDE/>
        <w:autoSpaceDN/>
        <w:bidi w:val="0"/>
        <w:adjustRightInd/>
        <w:snapToGrid/>
        <w:spacing w:after="120" w:line="240" w:lineRule="auto"/>
        <w:jc w:val="left"/>
        <w:textAlignment w:val="auto"/>
        <w:rPr>
          <w:rFonts w:hint="eastAsia"/>
          <w:sz w:val="21"/>
          <w:szCs w:val="21"/>
          <w:lang w:val="en-US" w:eastAsia="zh-CN"/>
        </w:rPr>
      </w:pPr>
      <w:r>
        <w:rPr>
          <w:rFonts w:hint="eastAsia"/>
          <w:sz w:val="21"/>
          <w:szCs w:val="21"/>
          <w:lang w:val="en-US" w:eastAsia="zh-CN"/>
        </w:rPr>
        <w:t>If RAN2 decides overlapping is not allowed, two possible solutions can be considered:</w:t>
      </w:r>
    </w:p>
    <w:p>
      <w:pPr>
        <w:keepNext w:val="0"/>
        <w:keepLines w:val="0"/>
        <w:pageBreakBefore w:val="0"/>
        <w:numPr>
          <w:ilvl w:val="0"/>
          <w:numId w:val="0"/>
        </w:numPr>
        <w:kinsoku/>
        <w:wordWrap/>
        <w:overflowPunct/>
        <w:topLinePunct w:val="0"/>
        <w:autoSpaceDE/>
        <w:autoSpaceDN/>
        <w:bidi w:val="0"/>
        <w:adjustRightInd/>
        <w:snapToGrid/>
        <w:spacing w:after="120" w:line="240" w:lineRule="auto"/>
        <w:ind w:leftChars="200"/>
        <w:jc w:val="left"/>
        <w:textAlignment w:val="auto"/>
        <w:rPr>
          <w:rFonts w:hint="eastAsia"/>
          <w:bCs/>
          <w:sz w:val="21"/>
          <w:szCs w:val="21"/>
          <w:lang w:val="en-US" w:eastAsia="zh-CN"/>
        </w:rPr>
      </w:pPr>
      <w:r>
        <w:rPr>
          <w:rFonts w:hint="eastAsia"/>
          <w:bCs/>
          <w:sz w:val="21"/>
          <w:szCs w:val="21"/>
          <w:lang w:val="en-US" w:eastAsia="zh-CN"/>
        </w:rPr>
        <w:t>Option 1: To leave to network configuration to ensure there is no overlapping configuration.</w:t>
      </w:r>
    </w:p>
    <w:p>
      <w:pPr>
        <w:keepNext w:val="0"/>
        <w:keepLines w:val="0"/>
        <w:pageBreakBefore w:val="0"/>
        <w:numPr>
          <w:ilvl w:val="0"/>
          <w:numId w:val="0"/>
        </w:numPr>
        <w:kinsoku/>
        <w:wordWrap/>
        <w:overflowPunct/>
        <w:topLinePunct w:val="0"/>
        <w:autoSpaceDE/>
        <w:autoSpaceDN/>
        <w:bidi w:val="0"/>
        <w:adjustRightInd/>
        <w:snapToGrid/>
        <w:spacing w:after="120" w:line="240" w:lineRule="auto"/>
        <w:ind w:leftChars="200"/>
        <w:jc w:val="left"/>
        <w:textAlignment w:val="auto"/>
        <w:rPr>
          <w:rFonts w:hint="default"/>
          <w:bCs/>
          <w:sz w:val="21"/>
          <w:szCs w:val="21"/>
          <w:lang w:val="en-US" w:eastAsia="zh-CN"/>
        </w:rPr>
      </w:pPr>
      <w:r>
        <w:rPr>
          <w:rFonts w:hint="eastAsia"/>
          <w:bCs/>
          <w:sz w:val="21"/>
          <w:szCs w:val="21"/>
          <w:lang w:val="en-US" w:eastAsia="zh-CN"/>
        </w:rPr>
        <w:t>Option 2: To specify a standard mechanism to avoid overlapping configuration. For example, for each height range, only min height is configured. The min height of next height range is the max height of this height range. And all height ranges share same hysteresis value.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bCs/>
          <w:sz w:val="21"/>
          <w:szCs w:val="21"/>
          <w:lang w:val="en-US" w:eastAsia="zh-CN"/>
        </w:rPr>
      </w:pPr>
      <w:r>
        <w:rPr>
          <w:rFonts w:hint="eastAsia"/>
          <w:bCs/>
          <w:sz w:val="21"/>
          <w:szCs w:val="21"/>
          <w:lang w:val="en-US" w:eastAsia="zh-CN"/>
        </w:rPr>
        <w:t xml:space="preserve">On the other side, if RAN2 decides the overlapping configuration is allowed, we need a solution to determine which </w:t>
      </w:r>
      <w:r>
        <w:rPr>
          <w:rFonts w:hint="eastAsia"/>
          <w:i/>
          <w:iCs/>
          <w:sz w:val="21"/>
          <w:szCs w:val="21"/>
          <w:lang w:val="en-US" w:eastAsia="zh-CN"/>
        </w:rPr>
        <w:t>SSB-ToMeasure</w:t>
      </w:r>
      <w:r>
        <w:rPr>
          <w:rFonts w:hint="eastAsia"/>
          <w:bCs/>
          <w:sz w:val="21"/>
          <w:szCs w:val="21"/>
          <w:lang w:val="en-US" w:eastAsia="zh-CN"/>
        </w:rPr>
        <w:t xml:space="preserve"> is applied in the overlapped height range, e.g. UE merge the</w:t>
      </w:r>
      <w:r>
        <w:rPr>
          <w:rFonts w:hint="eastAsia"/>
          <w:i/>
          <w:iCs/>
          <w:sz w:val="21"/>
          <w:szCs w:val="21"/>
          <w:lang w:val="en-US" w:eastAsia="zh-CN"/>
        </w:rPr>
        <w:t xml:space="preserve"> SSB-ToMeasure</w:t>
      </w:r>
      <w:r>
        <w:rPr>
          <w:rFonts w:hint="eastAsia"/>
          <w:bCs/>
          <w:sz w:val="21"/>
          <w:szCs w:val="21"/>
          <w:lang w:val="en-US" w:eastAsia="zh-CN"/>
        </w:rPr>
        <w:t xml:space="preserve"> of overlapped height ranges. Thus, option 1 is preferred to reduce the specification impact.</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 w:val="21"/>
          <w:szCs w:val="21"/>
          <w:lang w:val="en-US" w:eastAsia="zh-CN"/>
        </w:rPr>
      </w:pPr>
      <w:r>
        <w:rPr>
          <w:rFonts w:hint="eastAsia"/>
          <w:b/>
          <w:bCs/>
          <w:sz w:val="21"/>
          <w:szCs w:val="21"/>
          <w:lang w:val="en-US" w:eastAsia="zh-CN"/>
        </w:rPr>
        <w:t>Proposal 4: It</w:t>
      </w:r>
      <w:r>
        <w:rPr>
          <w:rFonts w:hint="default"/>
          <w:b/>
          <w:bCs/>
          <w:sz w:val="21"/>
          <w:szCs w:val="21"/>
          <w:lang w:val="en-US" w:eastAsia="zh-CN"/>
        </w:rPr>
        <w:t>’</w:t>
      </w:r>
      <w:bookmarkStart w:id="5" w:name="_GoBack"/>
      <w:bookmarkEnd w:id="5"/>
      <w:r>
        <w:rPr>
          <w:rFonts w:hint="eastAsia"/>
          <w:b/>
          <w:bCs/>
          <w:sz w:val="21"/>
          <w:szCs w:val="21"/>
          <w:lang w:val="en-US" w:eastAsia="zh-CN"/>
        </w:rPr>
        <w:t xml:space="preserve">s up to network implementation to ensure there is no overlapping on height ranges. </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eastAsia"/>
          <w:sz w:val="21"/>
          <w:szCs w:val="21"/>
          <w:lang w:val="en-US" w:eastAsia="zh-CN"/>
        </w:rPr>
      </w:pPr>
      <w:r>
        <w:rPr>
          <w:rFonts w:hint="eastAsia"/>
          <w:sz w:val="21"/>
          <w:szCs w:val="21"/>
          <w:lang w:val="en-US" w:eastAsia="zh-CN"/>
        </w:rPr>
        <w:t xml:space="preserve">In last RAN2 meeting, there are two main options on the UE behavior upon applying new </w:t>
      </w:r>
      <w:r>
        <w:rPr>
          <w:rFonts w:hint="eastAsia"/>
          <w:i/>
          <w:iCs/>
          <w:sz w:val="21"/>
          <w:szCs w:val="21"/>
          <w:lang w:val="en-US" w:eastAsia="zh-CN"/>
        </w:rPr>
        <w:t>SSB-ToMeasure.</w:t>
      </w:r>
    </w:p>
    <w:p>
      <w:pPr>
        <w:keepNext w:val="0"/>
        <w:keepLines w:val="0"/>
        <w:pageBreakBefore w:val="0"/>
        <w:kinsoku/>
        <w:wordWrap/>
        <w:overflowPunct/>
        <w:topLinePunct w:val="0"/>
        <w:autoSpaceDE/>
        <w:autoSpaceDN/>
        <w:bidi w:val="0"/>
        <w:adjustRightInd/>
        <w:snapToGrid/>
        <w:spacing w:after="120" w:line="240" w:lineRule="auto"/>
        <w:ind w:leftChars="200"/>
        <w:jc w:val="left"/>
        <w:textAlignment w:val="auto"/>
        <w:rPr>
          <w:rFonts w:hint="eastAsia"/>
          <w:sz w:val="21"/>
          <w:szCs w:val="21"/>
          <w:lang w:val="en-US" w:eastAsia="zh-CN"/>
        </w:rPr>
      </w:pPr>
      <w:r>
        <w:rPr>
          <w:rFonts w:hint="eastAsia"/>
          <w:sz w:val="21"/>
          <w:szCs w:val="21"/>
          <w:lang w:val="en-US" w:eastAsia="zh-CN"/>
        </w:rPr>
        <w:t>Option 1: To leave to UE implementation.</w:t>
      </w:r>
    </w:p>
    <w:p>
      <w:pPr>
        <w:keepNext w:val="0"/>
        <w:keepLines w:val="0"/>
        <w:pageBreakBefore w:val="0"/>
        <w:kinsoku/>
        <w:wordWrap/>
        <w:overflowPunct/>
        <w:topLinePunct w:val="0"/>
        <w:autoSpaceDE/>
        <w:autoSpaceDN/>
        <w:bidi w:val="0"/>
        <w:adjustRightInd/>
        <w:snapToGrid/>
        <w:spacing w:after="120" w:line="240" w:lineRule="auto"/>
        <w:ind w:leftChars="200"/>
        <w:jc w:val="left"/>
        <w:textAlignment w:val="auto"/>
        <w:rPr>
          <w:rFonts w:hint="default"/>
          <w:sz w:val="21"/>
          <w:szCs w:val="21"/>
          <w:lang w:val="en-US" w:eastAsia="zh-CN"/>
        </w:rPr>
      </w:pPr>
      <w:r>
        <w:rPr>
          <w:rFonts w:hint="eastAsia"/>
          <w:sz w:val="21"/>
          <w:szCs w:val="21"/>
          <w:lang w:val="en-US" w:eastAsia="zh-CN"/>
        </w:rPr>
        <w:t>Option 2: To specify the UE behavior similar to RRC reconfiguration.</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eastAsiaTheme="minorEastAsia"/>
          <w:sz w:val="21"/>
          <w:szCs w:val="21"/>
          <w:lang w:val="en-US" w:eastAsia="zh-CN"/>
        </w:rPr>
      </w:pPr>
      <w:r>
        <w:rPr>
          <w:rFonts w:hint="eastAsia"/>
          <w:sz w:val="21"/>
          <w:szCs w:val="21"/>
          <w:lang w:val="en-US" w:eastAsia="zh-CN"/>
        </w:rPr>
        <w:t xml:space="preserve">In RAN2#121bis, it was agreed UE applies the new </w:t>
      </w:r>
      <w:r>
        <w:rPr>
          <w:rFonts w:hint="eastAsia"/>
          <w:i/>
          <w:iCs/>
          <w:sz w:val="21"/>
          <w:szCs w:val="21"/>
          <w:lang w:val="en-US" w:eastAsia="zh-CN"/>
        </w:rPr>
        <w:t>SSB-ToMeasure</w:t>
      </w:r>
      <w:r>
        <w:rPr>
          <w:rFonts w:hint="eastAsia"/>
          <w:sz w:val="21"/>
          <w:szCs w:val="21"/>
          <w:lang w:val="en-US" w:eastAsia="zh-CN"/>
        </w:rPr>
        <w:t xml:space="preserve"> value once it moves to new height similar to the case of RRC reconfiguration[1]:</w:t>
      </w:r>
    </w:p>
    <w:p>
      <w:pPr>
        <w:pStyle w:val="68"/>
        <w:keepNext w:val="0"/>
        <w:keepLines w:val="0"/>
        <w:pageBreakBefore w:val="0"/>
        <w:numPr>
          <w:ilvl w:val="0"/>
          <w:numId w:val="7"/>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line="240" w:lineRule="auto"/>
        <w:textAlignment w:val="auto"/>
        <w:rPr>
          <w:rFonts w:ascii="Times New Roman" w:hAnsi="Times New Roman"/>
          <w:sz w:val="21"/>
          <w:szCs w:val="21"/>
          <w:highlight w:val="none"/>
        </w:rPr>
      </w:pPr>
      <w:r>
        <w:rPr>
          <w:rFonts w:ascii="Times New Roman" w:hAnsi="Times New Roman"/>
          <w:sz w:val="21"/>
          <w:szCs w:val="21"/>
          <w:highlight w:val="none"/>
        </w:rPr>
        <w:t>When height-dependent more-than-one configurations are provided, UE applies the new value once it moves to new height (or height range) similar to the case of RRC reconfiguration. Need Codes, field descriptions, etc. as in legacy specifications apply</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sz w:val="21"/>
          <w:szCs w:val="21"/>
          <w:highlight w:val="none"/>
          <w:lang w:val="en-US" w:eastAsia="zh-CN"/>
        </w:rPr>
      </w:pPr>
      <w:r>
        <w:rPr>
          <w:rFonts w:hint="eastAsia"/>
          <w:sz w:val="21"/>
          <w:szCs w:val="21"/>
          <w:highlight w:val="none"/>
          <w:lang w:val="en-US" w:eastAsia="zh-CN"/>
        </w:rPr>
        <w:t>We understand the intention of this agreement is to minimize the specification impact</w:t>
      </w:r>
      <w:r>
        <w:rPr>
          <w:rFonts w:ascii="Times New Roman" w:hAnsi="Times New Roman"/>
          <w:sz w:val="21"/>
          <w:szCs w:val="21"/>
          <w:highlight w:val="none"/>
        </w:rPr>
        <w:t>.</w:t>
      </w:r>
      <w:r>
        <w:rPr>
          <w:rFonts w:hint="eastAsia"/>
          <w:sz w:val="21"/>
          <w:szCs w:val="21"/>
          <w:highlight w:val="none"/>
          <w:lang w:val="en-US" w:eastAsia="zh-CN"/>
        </w:rPr>
        <w:t xml:space="preserve"> However, follow RRC reconfiguration procedure will cause misalignment between UE and network in some aspects. </w:t>
      </w:r>
    </w:p>
    <w:tbl>
      <w:tblPr>
        <w:tblStyle w:val="5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tcPr>
          <w:p>
            <w:pPr>
              <w:pageBreakBefore w:val="0"/>
              <w:kinsoku/>
              <w:wordWrap/>
              <w:topLinePunct w:val="0"/>
              <w:bidi w:val="0"/>
              <w:snapToGrid w:val="0"/>
              <w:spacing w:after="120" w:line="240" w:lineRule="auto"/>
              <w:jc w:val="left"/>
              <w:rPr>
                <w:b/>
                <w:bCs/>
                <w:szCs w:val="21"/>
              </w:rPr>
            </w:pPr>
            <w:r>
              <w:rPr>
                <w:b/>
                <w:bCs/>
                <w:szCs w:val="21"/>
              </w:rPr>
              <w:t>5.5.2.5</w:t>
            </w:r>
            <w:r>
              <w:rPr>
                <w:b/>
                <w:bCs/>
                <w:szCs w:val="21"/>
              </w:rPr>
              <w:tab/>
            </w:r>
            <w:r>
              <w:rPr>
                <w:b/>
                <w:bCs/>
                <w:szCs w:val="21"/>
              </w:rPr>
              <w:t>Measurement object addition/modification</w:t>
            </w:r>
          </w:p>
          <w:p>
            <w:pPr>
              <w:pageBreakBefore w:val="0"/>
              <w:widowControl/>
              <w:kinsoku/>
              <w:wordWrap/>
              <w:overflowPunct w:val="0"/>
              <w:topLinePunct w:val="0"/>
              <w:autoSpaceDE w:val="0"/>
              <w:autoSpaceDN w:val="0"/>
              <w:bidi w:val="0"/>
              <w:adjustRightInd w:val="0"/>
              <w:snapToGrid w:val="0"/>
              <w:spacing w:after="120" w:line="240" w:lineRule="auto"/>
              <w:jc w:val="left"/>
              <w:textAlignment w:val="baseline"/>
              <w:rPr>
                <w:rFonts w:eastAsia="宋体"/>
                <w:kern w:val="0"/>
              </w:rPr>
            </w:pPr>
            <w:r>
              <w:rPr>
                <w:rFonts w:eastAsia="宋体"/>
                <w:kern w:val="0"/>
              </w:rPr>
              <w:t>The UE shall:</w:t>
            </w:r>
          </w:p>
          <w:p>
            <w:pPr>
              <w:pageBreakBefore w:val="0"/>
              <w:widowControl/>
              <w:kinsoku/>
              <w:wordWrap/>
              <w:overflowPunct w:val="0"/>
              <w:topLinePunct w:val="0"/>
              <w:autoSpaceDE w:val="0"/>
              <w:autoSpaceDN w:val="0"/>
              <w:bidi w:val="0"/>
              <w:adjustRightInd w:val="0"/>
              <w:snapToGrid w:val="0"/>
              <w:spacing w:after="120" w:line="240" w:lineRule="auto"/>
              <w:ind w:left="568" w:hanging="284"/>
              <w:jc w:val="left"/>
              <w:textAlignment w:val="baseline"/>
              <w:rPr>
                <w:rFonts w:eastAsia="宋体"/>
                <w:kern w:val="0"/>
              </w:rPr>
            </w:pPr>
            <w:r>
              <w:rPr>
                <w:rFonts w:eastAsia="宋体"/>
                <w:kern w:val="0"/>
              </w:rPr>
              <w:t>1&gt;</w:t>
            </w:r>
            <w:r>
              <w:rPr>
                <w:rFonts w:eastAsia="宋体"/>
                <w:kern w:val="0"/>
              </w:rPr>
              <w:tab/>
            </w:r>
            <w:r>
              <w:rPr>
                <w:rFonts w:eastAsia="宋体"/>
                <w:kern w:val="0"/>
              </w:rPr>
              <w:t xml:space="preserve">for each </w:t>
            </w:r>
            <w:r>
              <w:rPr>
                <w:rFonts w:eastAsia="宋体"/>
                <w:i/>
                <w:kern w:val="0"/>
              </w:rPr>
              <w:t>measObjectId</w:t>
            </w:r>
            <w:r>
              <w:rPr>
                <w:rFonts w:eastAsia="宋体"/>
                <w:kern w:val="0"/>
              </w:rPr>
              <w:t xml:space="preserve"> included in the received </w:t>
            </w:r>
            <w:r>
              <w:rPr>
                <w:rFonts w:eastAsia="宋体"/>
                <w:i/>
                <w:kern w:val="0"/>
              </w:rPr>
              <w:t>measObjectToAddModList</w:t>
            </w:r>
            <w:r>
              <w:rPr>
                <w:rFonts w:eastAsia="宋体"/>
                <w:kern w:val="0"/>
              </w:rPr>
              <w:t>:</w:t>
            </w:r>
          </w:p>
          <w:p>
            <w:pPr>
              <w:pageBreakBefore w:val="0"/>
              <w:widowControl/>
              <w:kinsoku/>
              <w:wordWrap/>
              <w:overflowPunct w:val="0"/>
              <w:topLinePunct w:val="0"/>
              <w:autoSpaceDE w:val="0"/>
              <w:autoSpaceDN w:val="0"/>
              <w:bidi w:val="0"/>
              <w:adjustRightInd w:val="0"/>
              <w:snapToGrid w:val="0"/>
              <w:spacing w:after="120" w:line="240" w:lineRule="auto"/>
              <w:ind w:left="851" w:hanging="284"/>
              <w:jc w:val="left"/>
              <w:textAlignment w:val="baseline"/>
              <w:rPr>
                <w:rFonts w:eastAsia="宋体"/>
                <w:kern w:val="0"/>
              </w:rPr>
            </w:pPr>
            <w:r>
              <w:rPr>
                <w:rFonts w:eastAsia="宋体"/>
                <w:kern w:val="0"/>
              </w:rPr>
              <w:t>2&gt;</w:t>
            </w:r>
            <w:r>
              <w:rPr>
                <w:rFonts w:eastAsia="宋体"/>
                <w:kern w:val="0"/>
              </w:rPr>
              <w:tab/>
            </w:r>
            <w:r>
              <w:rPr>
                <w:rFonts w:eastAsia="宋体"/>
                <w:kern w:val="0"/>
              </w:rPr>
              <w:t xml:space="preserve">if an entry with the matching </w:t>
            </w:r>
            <w:r>
              <w:rPr>
                <w:rFonts w:eastAsia="宋体"/>
                <w:i/>
                <w:kern w:val="0"/>
              </w:rPr>
              <w:t>measObjectId</w:t>
            </w:r>
            <w:r>
              <w:rPr>
                <w:rFonts w:eastAsia="宋体"/>
                <w:kern w:val="0"/>
              </w:rPr>
              <w:t xml:space="preserve"> exists in the </w:t>
            </w:r>
            <w:r>
              <w:rPr>
                <w:rFonts w:eastAsia="宋体"/>
                <w:i/>
                <w:kern w:val="0"/>
              </w:rPr>
              <w:t>measObjectList</w:t>
            </w:r>
            <w:r>
              <w:rPr>
                <w:rFonts w:eastAsia="宋体"/>
                <w:kern w:val="0"/>
              </w:rPr>
              <w:t xml:space="preserve"> within the </w:t>
            </w:r>
            <w:r>
              <w:rPr>
                <w:rFonts w:eastAsia="宋体"/>
                <w:i/>
                <w:kern w:val="0"/>
              </w:rPr>
              <w:t>VarMeasConfig</w:t>
            </w:r>
            <w:r>
              <w:rPr>
                <w:rFonts w:eastAsia="宋体"/>
                <w:kern w:val="0"/>
              </w:rPr>
              <w:t>, for this entry:</w:t>
            </w:r>
          </w:p>
          <w:p>
            <w:pPr>
              <w:pageBreakBefore w:val="0"/>
              <w:widowControl/>
              <w:kinsoku/>
              <w:wordWrap/>
              <w:overflowPunct w:val="0"/>
              <w:topLinePunct w:val="0"/>
              <w:autoSpaceDE w:val="0"/>
              <w:autoSpaceDN w:val="0"/>
              <w:bidi w:val="0"/>
              <w:adjustRightInd w:val="0"/>
              <w:snapToGrid w:val="0"/>
              <w:spacing w:after="120" w:line="240" w:lineRule="auto"/>
              <w:ind w:left="1135" w:hanging="284"/>
              <w:jc w:val="left"/>
              <w:textAlignment w:val="baseline"/>
              <w:rPr>
                <w:rFonts w:eastAsia="宋体"/>
                <w:kern w:val="0"/>
              </w:rPr>
            </w:pPr>
            <w:r>
              <w:rPr>
                <w:rFonts w:eastAsia="宋体"/>
                <w:kern w:val="0"/>
              </w:rPr>
              <w:t>3&gt;</w:t>
            </w:r>
            <w:r>
              <w:rPr>
                <w:rFonts w:eastAsia="宋体"/>
                <w:kern w:val="0"/>
              </w:rPr>
              <w:tab/>
            </w:r>
            <w:r>
              <w:rPr>
                <w:rFonts w:eastAsia="宋体"/>
                <w:kern w:val="0"/>
              </w:rPr>
              <w:t xml:space="preserve">reconfigure the entry with the value received for this </w:t>
            </w:r>
            <w:r>
              <w:rPr>
                <w:rFonts w:eastAsia="宋体"/>
                <w:i/>
                <w:kern w:val="0"/>
              </w:rPr>
              <w:t>measObject</w:t>
            </w:r>
            <w:r>
              <w:rPr>
                <w:rFonts w:eastAsia="宋体"/>
                <w:kern w:val="0"/>
              </w:rPr>
              <w:t xml:space="preserve">, except for the fields </w:t>
            </w:r>
            <w:r>
              <w:rPr>
                <w:rFonts w:eastAsia="宋体"/>
                <w:i/>
                <w:kern w:val="0"/>
              </w:rPr>
              <w:t>cellsToAddModList</w:t>
            </w:r>
            <w:r>
              <w:rPr>
                <w:rFonts w:eastAsia="宋体"/>
                <w:kern w:val="0"/>
              </w:rPr>
              <w:t xml:space="preserve">, </w:t>
            </w:r>
            <w:r>
              <w:rPr>
                <w:rFonts w:eastAsia="宋体"/>
                <w:i/>
                <w:kern w:val="0"/>
              </w:rPr>
              <w:t>excludedCellsToAddModList</w:t>
            </w:r>
            <w:r>
              <w:rPr>
                <w:rFonts w:eastAsia="宋体"/>
                <w:kern w:val="0"/>
              </w:rPr>
              <w:t xml:space="preserve">, </w:t>
            </w:r>
            <w:r>
              <w:rPr>
                <w:rFonts w:eastAsia="宋体"/>
                <w:i/>
                <w:kern w:val="0"/>
              </w:rPr>
              <w:t>allowedCellsToAddModList</w:t>
            </w:r>
            <w:r>
              <w:rPr>
                <w:rFonts w:eastAsia="宋体"/>
                <w:kern w:val="0"/>
              </w:rPr>
              <w:t xml:space="preserve">, </w:t>
            </w:r>
            <w:r>
              <w:rPr>
                <w:rFonts w:eastAsia="宋体"/>
                <w:i/>
                <w:kern w:val="0"/>
              </w:rPr>
              <w:t>cellsToRemoveList</w:t>
            </w:r>
            <w:r>
              <w:rPr>
                <w:rFonts w:eastAsia="宋体"/>
                <w:kern w:val="0"/>
              </w:rPr>
              <w:t xml:space="preserve">, </w:t>
            </w:r>
            <w:r>
              <w:rPr>
                <w:rFonts w:eastAsia="宋体"/>
                <w:i/>
                <w:kern w:val="0"/>
              </w:rPr>
              <w:t>excludedCellsToRemoveList</w:t>
            </w:r>
            <w:r>
              <w:rPr>
                <w:rFonts w:eastAsia="宋体"/>
                <w:kern w:val="0"/>
              </w:rPr>
              <w:t xml:space="preserve">, </w:t>
            </w:r>
            <w:r>
              <w:rPr>
                <w:rFonts w:eastAsia="宋体"/>
                <w:i/>
                <w:kern w:val="0"/>
              </w:rPr>
              <w:t>allowedCellsToRemoveList</w:t>
            </w:r>
            <w:r>
              <w:rPr>
                <w:rFonts w:eastAsia="宋体"/>
                <w:kern w:val="0"/>
              </w:rPr>
              <w:t>,</w:t>
            </w:r>
            <w:r>
              <w:rPr>
                <w:rFonts w:eastAsia="宋体"/>
                <w:i/>
                <w:kern w:val="0"/>
              </w:rPr>
              <w:t xml:space="preserve"> tx-PoolMeasToRemoveList</w:t>
            </w:r>
            <w:r>
              <w:rPr>
                <w:rFonts w:eastAsia="宋体"/>
                <w:kern w:val="0"/>
              </w:rPr>
              <w:t>,</w:t>
            </w:r>
            <w:r>
              <w:rPr>
                <w:rFonts w:eastAsia="宋体"/>
                <w:i/>
                <w:kern w:val="0"/>
              </w:rPr>
              <w:t xml:space="preserve"> tx-PoolMeasToAddModList</w:t>
            </w:r>
            <w:r>
              <w:rPr>
                <w:rFonts w:eastAsia="宋体"/>
                <w:kern w:val="0"/>
              </w:rPr>
              <w:t>,</w:t>
            </w:r>
            <w:r>
              <w:rPr>
                <w:rFonts w:eastAsia="宋体"/>
                <w:i/>
                <w:kern w:val="0"/>
              </w:rPr>
              <w:t xml:space="preserve"> ssb-PositionQCL-CellsToRemoveList</w:t>
            </w:r>
            <w:r>
              <w:rPr>
                <w:rFonts w:eastAsia="宋体"/>
                <w:kern w:val="0"/>
              </w:rPr>
              <w:t>,</w:t>
            </w:r>
            <w:r>
              <w:rPr>
                <w:rFonts w:eastAsia="宋体"/>
                <w:iCs/>
                <w:kern w:val="0"/>
              </w:rPr>
              <w:t xml:space="preserve"> </w:t>
            </w:r>
            <w:r>
              <w:rPr>
                <w:rFonts w:eastAsia="宋体"/>
                <w:i/>
                <w:kern w:val="0"/>
              </w:rPr>
              <w:t>ssb-PositionQCL-CellsToAddModList, cca-CellsToRemoveList</w:t>
            </w:r>
            <w:r>
              <w:rPr>
                <w:rFonts w:eastAsia="宋体"/>
                <w:kern w:val="0"/>
              </w:rPr>
              <w:t>,</w:t>
            </w:r>
            <w:r>
              <w:rPr>
                <w:rFonts w:eastAsia="宋体"/>
                <w:i/>
                <w:kern w:val="0"/>
              </w:rPr>
              <w:t xml:space="preserve"> </w:t>
            </w:r>
            <w:r>
              <w:rPr>
                <w:rFonts w:eastAsia="宋体"/>
                <w:kern w:val="0"/>
              </w:rPr>
              <w:t>and</w:t>
            </w:r>
            <w:r>
              <w:rPr>
                <w:rFonts w:eastAsia="宋体"/>
                <w:i/>
                <w:kern w:val="0"/>
              </w:rPr>
              <w:t xml:space="preserve"> cca-CellsToAddModList</w:t>
            </w:r>
            <w:r>
              <w:rPr>
                <w:rFonts w:eastAsia="宋体"/>
                <w:kern w:val="0"/>
              </w:rPr>
              <w:t>;</w:t>
            </w:r>
          </w:p>
          <w:p>
            <w:pPr>
              <w:pageBreakBefore w:val="0"/>
              <w:kinsoku/>
              <w:wordWrap/>
              <w:topLinePunct w:val="0"/>
              <w:bidi w:val="0"/>
              <w:snapToGrid w:val="0"/>
              <w:spacing w:after="120" w:line="240" w:lineRule="auto"/>
              <w:jc w:val="left"/>
              <w:rPr>
                <w:rFonts w:hint="eastAsia" w:eastAsiaTheme="minorEastAsia"/>
                <w:bCs/>
                <w:szCs w:val="21"/>
                <w:lang w:val="en-US" w:eastAsia="zh-CN"/>
              </w:rPr>
            </w:pPr>
            <w:r>
              <w:rPr>
                <w:rFonts w:hint="eastAsia"/>
                <w:bCs/>
                <w:szCs w:val="21"/>
                <w:lang w:val="en-US" w:eastAsia="zh-CN"/>
              </w:rPr>
              <w:t>&lt;</w:t>
            </w:r>
            <w:r>
              <w:rPr>
                <w:rFonts w:hint="eastAsia"/>
                <w:bCs/>
                <w:szCs w:val="21"/>
              </w:rPr>
              <w:t>&lt;</w:t>
            </w:r>
            <w:r>
              <w:rPr>
                <w:bCs/>
                <w:szCs w:val="21"/>
              </w:rPr>
              <w:t>skip</w:t>
            </w:r>
            <w:r>
              <w:rPr>
                <w:rFonts w:hint="eastAsia"/>
                <w:bCs/>
                <w:szCs w:val="21"/>
                <w:lang w:val="en-US" w:eastAsia="zh-CN"/>
              </w:rPr>
              <w:t>ped</w:t>
            </w:r>
            <w:r>
              <w:rPr>
                <w:bCs/>
                <w:szCs w:val="21"/>
              </w:rPr>
              <w:t xml:space="preserve"> irrelevant part&gt;</w:t>
            </w:r>
            <w:r>
              <w:rPr>
                <w:rFonts w:hint="eastAsia"/>
                <w:bCs/>
                <w:szCs w:val="21"/>
                <w:lang w:val="en-US" w:eastAsia="zh-CN"/>
              </w:rPr>
              <w:t>&gt;</w:t>
            </w:r>
          </w:p>
          <w:p>
            <w:pPr>
              <w:pageBreakBefore w:val="0"/>
              <w:widowControl/>
              <w:kinsoku/>
              <w:wordWrap/>
              <w:overflowPunct w:val="0"/>
              <w:topLinePunct w:val="0"/>
              <w:autoSpaceDE w:val="0"/>
              <w:autoSpaceDN w:val="0"/>
              <w:bidi w:val="0"/>
              <w:adjustRightInd w:val="0"/>
              <w:spacing w:after="120" w:line="240" w:lineRule="auto"/>
              <w:ind w:left="1135" w:hanging="284"/>
              <w:jc w:val="left"/>
              <w:textAlignment w:val="baseline"/>
              <w:rPr>
                <w:rFonts w:eastAsia="宋体"/>
                <w:kern w:val="0"/>
              </w:rPr>
            </w:pPr>
            <w:r>
              <w:rPr>
                <w:rFonts w:eastAsia="宋体"/>
                <w:kern w:val="0"/>
              </w:rPr>
              <w:t>3&gt;</w:t>
            </w:r>
            <w:r>
              <w:rPr>
                <w:rFonts w:eastAsia="宋体"/>
                <w:kern w:val="0"/>
              </w:rPr>
              <w:tab/>
            </w:r>
            <w:r>
              <w:rPr>
                <w:rFonts w:eastAsia="宋体"/>
                <w:kern w:val="0"/>
              </w:rPr>
              <w:t>for each measId associated with this measObjectId in the measIdList within the VarMeasConfig, if any:</w:t>
            </w:r>
          </w:p>
          <w:p>
            <w:pPr>
              <w:pageBreakBefore w:val="0"/>
              <w:widowControl/>
              <w:kinsoku/>
              <w:wordWrap/>
              <w:overflowPunct w:val="0"/>
              <w:topLinePunct w:val="0"/>
              <w:autoSpaceDE w:val="0"/>
              <w:autoSpaceDN w:val="0"/>
              <w:bidi w:val="0"/>
              <w:adjustRightInd w:val="0"/>
              <w:spacing w:after="120" w:line="240" w:lineRule="auto"/>
              <w:ind w:left="1418" w:hanging="284"/>
              <w:jc w:val="left"/>
              <w:textAlignment w:val="baseline"/>
              <w:rPr>
                <w:rFonts w:eastAsia="宋体"/>
                <w:kern w:val="0"/>
              </w:rPr>
            </w:pPr>
            <w:r>
              <w:rPr>
                <w:rFonts w:eastAsia="宋体"/>
                <w:kern w:val="0"/>
              </w:rPr>
              <w:t>4&gt;</w:t>
            </w:r>
            <w:r>
              <w:rPr>
                <w:rFonts w:eastAsia="宋体"/>
                <w:kern w:val="0"/>
              </w:rPr>
              <w:tab/>
            </w:r>
            <w:r>
              <w:rPr>
                <w:rFonts w:eastAsia="宋体"/>
                <w:kern w:val="0"/>
              </w:rPr>
              <w:t>remove the measurement reporting entry for this measId from the VarMeasReportList, if included;</w:t>
            </w:r>
          </w:p>
          <w:p>
            <w:pPr>
              <w:pageBreakBefore w:val="0"/>
              <w:widowControl/>
              <w:kinsoku/>
              <w:wordWrap/>
              <w:overflowPunct w:val="0"/>
              <w:topLinePunct w:val="0"/>
              <w:autoSpaceDE w:val="0"/>
              <w:autoSpaceDN w:val="0"/>
              <w:bidi w:val="0"/>
              <w:adjustRightInd w:val="0"/>
              <w:spacing w:after="120" w:line="240" w:lineRule="auto"/>
              <w:ind w:left="1418" w:hanging="284"/>
              <w:jc w:val="left"/>
              <w:textAlignment w:val="baseline"/>
              <w:rPr>
                <w:rFonts w:eastAsia="宋体"/>
                <w:kern w:val="0"/>
              </w:rPr>
            </w:pPr>
            <w:r>
              <w:rPr>
                <w:rFonts w:eastAsia="宋体"/>
                <w:kern w:val="0"/>
              </w:rPr>
              <w:t>4&gt;</w:t>
            </w:r>
            <w:r>
              <w:rPr>
                <w:rFonts w:eastAsia="宋体"/>
                <w:kern w:val="0"/>
              </w:rPr>
              <w:tab/>
            </w:r>
            <w:r>
              <w:rPr>
                <w:rFonts w:eastAsia="宋体"/>
                <w:kern w:val="0"/>
              </w:rPr>
              <w:t>stop the periodical reporting timer or timer T321 or timer T322, whichever one is running, and reset the associated information (e.g. timeToTrigger) for this measId;</w:t>
            </w:r>
          </w:p>
          <w:p>
            <w:pPr>
              <w:pageBreakBefore w:val="0"/>
              <w:kinsoku/>
              <w:wordWrap/>
              <w:topLinePunct w:val="0"/>
              <w:bidi w:val="0"/>
              <w:snapToGrid w:val="0"/>
              <w:spacing w:after="120" w:line="240" w:lineRule="auto"/>
              <w:jc w:val="left"/>
              <w:rPr>
                <w:rFonts w:hint="eastAsia" w:eastAsiaTheme="minorEastAsia"/>
                <w:bCs/>
                <w:szCs w:val="21"/>
                <w:lang w:val="en-US" w:eastAsia="zh-CN"/>
              </w:rPr>
            </w:pPr>
            <w:r>
              <w:rPr>
                <w:rFonts w:hint="eastAsia"/>
                <w:bCs/>
                <w:szCs w:val="21"/>
                <w:lang w:val="en-US" w:eastAsia="zh-CN"/>
              </w:rPr>
              <w:t>&lt;</w:t>
            </w:r>
            <w:r>
              <w:rPr>
                <w:rFonts w:hint="eastAsia"/>
                <w:bCs/>
                <w:szCs w:val="21"/>
              </w:rPr>
              <w:t>&lt;</w:t>
            </w:r>
            <w:r>
              <w:rPr>
                <w:bCs/>
                <w:szCs w:val="21"/>
              </w:rPr>
              <w:t>skip</w:t>
            </w:r>
            <w:r>
              <w:rPr>
                <w:rFonts w:hint="eastAsia"/>
                <w:bCs/>
                <w:szCs w:val="21"/>
                <w:lang w:val="en-US" w:eastAsia="zh-CN"/>
              </w:rPr>
              <w:t>ped</w:t>
            </w:r>
            <w:r>
              <w:rPr>
                <w:bCs/>
                <w:szCs w:val="21"/>
              </w:rPr>
              <w:t xml:space="preserve"> irrelevant part&gt;</w:t>
            </w:r>
            <w:r>
              <w:rPr>
                <w:rFonts w:hint="eastAsia"/>
                <w:bCs/>
                <w:szCs w:val="21"/>
                <w:lang w:val="en-US" w:eastAsia="zh-CN"/>
              </w:rPr>
              <w:t>&gt;</w:t>
            </w:r>
          </w:p>
        </w:tc>
      </w:tr>
    </w:tbl>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eastAsiaTheme="minorEastAsia"/>
          <w:lang w:val="en-US" w:eastAsia="zh-CN"/>
        </w:rPr>
      </w:pPr>
      <w:r>
        <w:rPr>
          <w:rFonts w:hint="eastAsia"/>
          <w:lang w:val="en-US" w:eastAsia="zh-CN"/>
        </w:rPr>
        <w:t>As the MO modification procedure as copied above, if a periodical reporting is on going</w:t>
      </w:r>
      <w:r>
        <w:rPr>
          <w:rFonts w:hint="eastAsia"/>
          <w:i w:val="0"/>
          <w:iCs w:val="0"/>
          <w:lang w:val="en-US" w:eastAsia="zh-CN"/>
        </w:rPr>
        <w:t xml:space="preserve">, to perform this procedure autonomously by the UE means the </w:t>
      </w:r>
      <w:r>
        <w:rPr>
          <w:rFonts w:hint="eastAsia"/>
          <w:lang w:val="en-US" w:eastAsia="zh-CN"/>
        </w:rPr>
        <w:t xml:space="preserve">periodical reporting will be stopped. Even if UE restarts the periodical reporting, the </w:t>
      </w:r>
      <w:r>
        <w:rPr>
          <w:i/>
          <w:iCs/>
        </w:rPr>
        <w:t>numberOfReportsSent</w:t>
      </w:r>
      <w:r>
        <w:rPr>
          <w:i w:val="0"/>
          <w:iCs w:val="0"/>
        </w:rPr>
        <w:t xml:space="preserve"> </w:t>
      </w:r>
      <w:r>
        <w:rPr>
          <w:rFonts w:hint="eastAsia"/>
          <w:i w:val="0"/>
          <w:iCs w:val="0"/>
          <w:lang w:val="en-US" w:eastAsia="zh-CN"/>
        </w:rPr>
        <w:t>starts to count again. And this procedure may occurs for multiple times if UE flying in and out height ranges. In the end, the total reporting number will be larger than network</w:t>
      </w:r>
      <w:r>
        <w:rPr>
          <w:rFonts w:hint="default"/>
          <w:i w:val="0"/>
          <w:iCs w:val="0"/>
          <w:lang w:val="en-US" w:eastAsia="zh-CN"/>
        </w:rPr>
        <w:t>’</w:t>
      </w:r>
      <w:r>
        <w:rPr>
          <w:rFonts w:hint="eastAsia"/>
          <w:i w:val="0"/>
          <w:iCs w:val="0"/>
          <w:lang w:val="en-US" w:eastAsia="zh-CN"/>
        </w:rPr>
        <w:t>s expectation.</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eastAsia"/>
          <w:lang w:val="en-US" w:eastAsia="zh-CN"/>
        </w:rPr>
      </w:pPr>
      <w:r>
        <w:rPr>
          <w:rFonts w:hint="eastAsia"/>
          <w:lang w:val="en-US" w:eastAsia="zh-CN"/>
        </w:rPr>
        <w:t xml:space="preserve">Similarly, if T321 or T322 is running, the </w:t>
      </w:r>
      <w:r>
        <w:rPr>
          <w:rFonts w:hint="eastAsia"/>
          <w:i/>
          <w:iCs/>
          <w:lang w:val="en-US" w:eastAsia="zh-CN"/>
        </w:rPr>
        <w:t>reportCGI or</w:t>
      </w:r>
      <w:r>
        <w:rPr>
          <w:rFonts w:hint="eastAsia"/>
          <w:lang w:val="en-US" w:eastAsia="zh-CN"/>
        </w:rPr>
        <w:t xml:space="preserve"> </w:t>
      </w:r>
      <w:r>
        <w:rPr>
          <w:i/>
          <w:lang w:eastAsia="en-GB"/>
        </w:rPr>
        <w:t>reportSFTD</w:t>
      </w:r>
      <w:r>
        <w:rPr>
          <w:lang w:eastAsia="en-GB"/>
        </w:rPr>
        <w:t xml:space="preserve"> </w:t>
      </w:r>
      <w:r>
        <w:rPr>
          <w:rFonts w:hint="eastAsia"/>
          <w:lang w:val="en-US" w:eastAsia="zh-CN"/>
        </w:rPr>
        <w:t>procedure will be stopped. Even if UE restarts the timer, the timer value is actually enlarged by this procedure. This is also not what network expected.</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eastAsia"/>
          <w:sz w:val="21"/>
          <w:szCs w:val="21"/>
          <w:highlight w:val="none"/>
          <w:lang w:val="en-US" w:eastAsia="zh-CN"/>
        </w:rPr>
      </w:pPr>
      <w:r>
        <w:rPr>
          <w:rFonts w:hint="eastAsia"/>
          <w:sz w:val="21"/>
          <w:szCs w:val="21"/>
          <w:highlight w:val="none"/>
          <w:lang w:val="en-US" w:eastAsia="zh-CN"/>
        </w:rPr>
        <w:t xml:space="preserve">The cause of such misalignment is that the RRC reconfiguration is designed to be triggered by network but not triggered by UE. The network knows what UE will behave upon RRC reconfiguration, including the handling of the variables and timers. However, if UE perform RRC reconfiguration autonomously, the network is ignorant of the time when it occurs. Thus the misalignment happens. </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sz w:val="21"/>
          <w:szCs w:val="21"/>
          <w:highlight w:val="none"/>
          <w:lang w:val="en-US" w:eastAsia="zh-CN"/>
        </w:rPr>
      </w:pPr>
      <w:r>
        <w:rPr>
          <w:rFonts w:hint="eastAsia"/>
          <w:sz w:val="21"/>
          <w:szCs w:val="21"/>
          <w:highlight w:val="none"/>
          <w:lang w:val="en-US" w:eastAsia="zh-CN"/>
        </w:rPr>
        <w:t xml:space="preserve">Someone may think special treatments can be introduced to align the UE and network after the autonomous RRC reconfiguration procedure. For example, to introduce intermediate variables in UE side to store </w:t>
      </w:r>
      <w:r>
        <w:rPr>
          <w:i/>
          <w:iCs/>
        </w:rPr>
        <w:t>numberOfReportsSent</w:t>
      </w:r>
      <w:r>
        <w:rPr>
          <w:i w:val="0"/>
          <w:iCs w:val="0"/>
        </w:rPr>
        <w:t xml:space="preserve"> </w:t>
      </w:r>
      <w:r>
        <w:rPr>
          <w:rFonts w:hint="eastAsia"/>
          <w:i w:val="0"/>
          <w:iCs w:val="0"/>
          <w:lang w:val="en-US" w:eastAsia="zh-CN"/>
        </w:rPr>
        <w:t xml:space="preserve">when an entry is removed from </w:t>
      </w:r>
      <w:r>
        <w:rPr>
          <w:rFonts w:hint="eastAsia"/>
          <w:i/>
          <w:iCs/>
          <w:lang w:val="en-US" w:eastAsia="zh-CN"/>
        </w:rPr>
        <w:t>VarMeasReportList</w:t>
      </w:r>
      <w:r>
        <w:rPr>
          <w:rFonts w:hint="eastAsia"/>
          <w:i w:val="0"/>
          <w:iCs w:val="0"/>
          <w:lang w:val="en-US" w:eastAsia="zh-CN"/>
        </w:rPr>
        <w:t>. However, we doubt whether such efforts are necessary if we have a more simple solution.</w:t>
      </w:r>
    </w:p>
    <w:p>
      <w:pPr>
        <w:keepNext w:val="0"/>
        <w:keepLines w:val="0"/>
        <w:pageBreakBefore w:val="0"/>
        <w:widowControl w:val="0"/>
        <w:kinsoku/>
        <w:wordWrap/>
        <w:overflowPunct/>
        <w:topLinePunct w:val="0"/>
        <w:autoSpaceDE/>
        <w:autoSpaceDN/>
        <w:bidi w:val="0"/>
        <w:adjustRightInd/>
        <w:snapToGrid/>
        <w:spacing w:after="120" w:line="240" w:lineRule="auto"/>
        <w:ind w:left="1490" w:leftChars="0" w:hanging="1490" w:hangingChars="707"/>
        <w:jc w:val="left"/>
        <w:textAlignment w:val="auto"/>
        <w:rPr>
          <w:rFonts w:hint="default"/>
          <w:b/>
          <w:bCs/>
          <w:szCs w:val="21"/>
          <w:lang w:val="en-US" w:eastAsia="zh-CN"/>
        </w:rPr>
      </w:pPr>
      <w:r>
        <w:rPr>
          <w:rFonts w:hint="eastAsia"/>
          <w:b/>
          <w:bCs/>
          <w:szCs w:val="21"/>
          <w:lang w:val="en-US" w:eastAsia="zh-CN"/>
        </w:rPr>
        <w:t>Observation 1: Misalignment between UE and network occurs if UE autonomously performs RRC reconfiguration procedure when move in new height range. Extra efforts are needed to avoid such misalignment.</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lang w:val="en-US" w:eastAsia="zh-CN"/>
        </w:rPr>
      </w:pPr>
      <w:r>
        <w:t xml:space="preserve">In </w:t>
      </w:r>
      <w:r>
        <w:rPr>
          <w:rFonts w:hint="eastAsia"/>
          <w:lang w:val="en-US" w:eastAsia="zh-CN"/>
        </w:rPr>
        <w:t>general</w:t>
      </w:r>
      <w:r>
        <w:t xml:space="preserve">, </w:t>
      </w:r>
      <w:r>
        <w:rPr>
          <w:rFonts w:hint="eastAsia"/>
          <w:lang w:val="en-US" w:eastAsia="zh-CN"/>
        </w:rPr>
        <w:t>the triggering of L3 measurement reporting</w:t>
      </w:r>
      <w:r>
        <w:t xml:space="preserve"> is based on cell level measurement results. </w:t>
      </w:r>
      <w:r>
        <w:rPr>
          <w:rFonts w:hint="eastAsia"/>
          <w:lang w:val="en-US" w:eastAsia="zh-CN"/>
        </w:rPr>
        <w:t>T</w:t>
      </w:r>
      <w:r>
        <w:t>he behavior of such change is not specified but is left to UE implementation.</w:t>
      </w:r>
      <w:r>
        <w:rPr>
          <w:rFonts w:hint="eastAsia"/>
          <w:lang w:val="en-US" w:eastAsia="zh-CN"/>
        </w:rPr>
        <w:t xml:space="preserve"> </w:t>
      </w:r>
      <w:r>
        <w:t xml:space="preserve">Let’s take TTT as example. When TTT is running while the best beams changes, the cell level quality may also changes. </w:t>
      </w:r>
      <w:r>
        <w:rPr>
          <w:rFonts w:hint="eastAsia"/>
          <w:lang w:val="en-US" w:eastAsia="zh-CN"/>
        </w:rPr>
        <w:t>The UE implementation may decide whether to</w:t>
      </w:r>
      <w:r>
        <w:t xml:space="preserve"> stop TTT based on the current cell level quality but not based on change of the used beams.</w:t>
      </w:r>
      <w:r>
        <w:rPr>
          <w:rFonts w:hint="eastAsia"/>
          <w:lang w:val="en-US" w:eastAsia="zh-CN"/>
        </w:rPr>
        <w:t xml:space="preserve"> </w:t>
      </w:r>
      <w:r>
        <w:t xml:space="preserve">Another example is periodical reporting. When a periodical reporting entry is already included in </w:t>
      </w:r>
      <w:r>
        <w:rPr>
          <w:i/>
          <w:iCs/>
        </w:rPr>
        <w:t>VarMeasReportList</w:t>
      </w:r>
      <w:r>
        <w:t xml:space="preserve">, the change of beams used for cell level quality derivation </w:t>
      </w:r>
      <w:r>
        <w:rPr>
          <w:rFonts w:hint="eastAsia"/>
          <w:lang w:val="en-US" w:eastAsia="zh-CN"/>
        </w:rPr>
        <w:t xml:space="preserve">may not result in </w:t>
      </w:r>
      <w:r>
        <w:t>remov</w:t>
      </w:r>
      <w:r>
        <w:rPr>
          <w:rFonts w:hint="eastAsia"/>
          <w:lang w:val="en-US" w:eastAsia="zh-CN"/>
        </w:rPr>
        <w:t>al of</w:t>
      </w:r>
      <w:r>
        <w:t xml:space="preserve"> the entry</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after="120" w:line="240" w:lineRule="auto"/>
        <w:ind w:left="1490" w:leftChars="0" w:hanging="1490" w:hangingChars="707"/>
        <w:jc w:val="left"/>
        <w:textAlignment w:val="auto"/>
        <w:rPr>
          <w:rFonts w:hint="eastAsia"/>
          <w:b/>
          <w:bCs/>
          <w:szCs w:val="21"/>
          <w:lang w:val="en-US" w:eastAsia="zh-CN"/>
        </w:rPr>
      </w:pPr>
      <w:r>
        <w:rPr>
          <w:rFonts w:hint="eastAsia"/>
          <w:b/>
          <w:bCs/>
          <w:szCs w:val="21"/>
          <w:lang w:val="en-US" w:eastAsia="zh-CN"/>
        </w:rPr>
        <w:t>Observation 2: The UE behavior on the change of the beams used for cell level quality derivation is not specified.</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eastAsia="宋体" w:cs="Times New Roman"/>
          <w:sz w:val="21"/>
          <w:szCs w:val="21"/>
          <w:lang w:val="en-US" w:eastAsia="zh-CN"/>
        </w:rPr>
      </w:pPr>
      <w:r>
        <w:rPr>
          <w:sz w:val="21"/>
          <w:szCs w:val="21"/>
        </w:rPr>
        <w:t xml:space="preserve">From L3 measurement point of view, the change of </w:t>
      </w:r>
      <w:r>
        <w:rPr>
          <w:i/>
          <w:iCs/>
          <w:sz w:val="21"/>
          <w:szCs w:val="21"/>
        </w:rPr>
        <w:t xml:space="preserve">SSB-ToMeasure </w:t>
      </w:r>
      <w:r>
        <w:rPr>
          <w:sz w:val="21"/>
          <w:szCs w:val="21"/>
        </w:rPr>
        <w:t>is similar to the change of beams used for cell level quality derivation</w:t>
      </w:r>
      <w:r>
        <w:rPr>
          <w:rFonts w:hint="eastAsia"/>
          <w:sz w:val="21"/>
          <w:szCs w:val="21"/>
          <w:lang w:val="en-US" w:eastAsia="zh-CN"/>
        </w:rPr>
        <w:t xml:space="preserve"> due to mobility. To apply new </w:t>
      </w:r>
      <w:r>
        <w:rPr>
          <w:rFonts w:hint="eastAsia"/>
          <w:i/>
          <w:iCs/>
          <w:sz w:val="21"/>
          <w:szCs w:val="21"/>
          <w:lang w:val="en-US" w:eastAsia="zh-CN"/>
        </w:rPr>
        <w:t xml:space="preserve">SSB-ToMeasure </w:t>
      </w:r>
      <w:r>
        <w:rPr>
          <w:rFonts w:hint="eastAsia"/>
          <w:sz w:val="21"/>
          <w:szCs w:val="21"/>
          <w:lang w:val="en-US" w:eastAsia="zh-CN"/>
        </w:rPr>
        <w:t xml:space="preserve">with a different value means the UE start to perform measurement on a different set of SSBs. The new set of SSBs may comprise SSBs also included in old </w:t>
      </w:r>
      <w:r>
        <w:rPr>
          <w:rFonts w:hint="eastAsia"/>
          <w:i/>
          <w:iCs/>
          <w:sz w:val="21"/>
          <w:szCs w:val="21"/>
          <w:lang w:val="en-US" w:eastAsia="zh-CN"/>
        </w:rPr>
        <w:t>SSB-ToMeasure</w:t>
      </w:r>
      <w:r>
        <w:rPr>
          <w:rFonts w:hint="eastAsia"/>
          <w:sz w:val="21"/>
          <w:szCs w:val="21"/>
          <w:lang w:val="en-US" w:eastAsia="zh-CN"/>
        </w:rPr>
        <w:t>. We understand that</w:t>
      </w:r>
      <w:r>
        <w:rPr>
          <w:rFonts w:hint="default"/>
          <w:sz w:val="21"/>
          <w:szCs w:val="21"/>
          <w:lang w:val="en-US" w:eastAsia="zh-CN"/>
        </w:rPr>
        <w:t>’</w:t>
      </w:r>
      <w:r>
        <w:rPr>
          <w:rFonts w:hint="eastAsia"/>
          <w:sz w:val="21"/>
          <w:szCs w:val="21"/>
          <w:lang w:val="en-US" w:eastAsia="zh-CN"/>
        </w:rPr>
        <w:t xml:space="preserve">s the reason why RAN2 agreed that it is up to UE implementation </w:t>
      </w:r>
      <w:r>
        <w:rPr>
          <w:rFonts w:hint="default" w:ascii="Times New Roman" w:hAnsi="Times New Roman" w:eastAsia="MS Mincho" w:cs="Times New Roman"/>
          <w:sz w:val="21"/>
          <w:szCs w:val="21"/>
          <w:lang w:val="en-GB" w:eastAsia="en-GB"/>
        </w:rPr>
        <w:t xml:space="preserve">whether to keep/discard the old </w:t>
      </w:r>
      <w:r>
        <w:rPr>
          <w:rFonts w:hint="eastAsia" w:eastAsia="宋体" w:cs="Times New Roman"/>
          <w:sz w:val="21"/>
          <w:szCs w:val="21"/>
          <w:lang w:val="en-US" w:eastAsia="zh-CN"/>
        </w:rPr>
        <w:t xml:space="preserve">L1/L3 </w:t>
      </w:r>
      <w:r>
        <w:rPr>
          <w:rFonts w:hint="default" w:ascii="Times New Roman" w:hAnsi="Times New Roman" w:eastAsia="MS Mincho" w:cs="Times New Roman"/>
          <w:sz w:val="21"/>
          <w:szCs w:val="21"/>
          <w:lang w:val="en-GB" w:eastAsia="en-GB"/>
        </w:rPr>
        <w:t>samples</w:t>
      </w:r>
      <w:r>
        <w:rPr>
          <w:rFonts w:hint="eastAsia" w:eastAsia="宋体" w:cs="Times New Roman"/>
          <w:sz w:val="21"/>
          <w:szCs w:val="21"/>
          <w:lang w:val="en-US" w:eastAsia="zh-CN"/>
        </w:rPr>
        <w:t xml:space="preserve">. Thus, applying new </w:t>
      </w:r>
      <w:r>
        <w:rPr>
          <w:rFonts w:hint="eastAsia"/>
          <w:i/>
          <w:iCs/>
          <w:sz w:val="21"/>
          <w:szCs w:val="21"/>
          <w:lang w:val="en-US" w:eastAsia="zh-CN"/>
        </w:rPr>
        <w:t xml:space="preserve">SSB-ToMeasure </w:t>
      </w:r>
      <w:r>
        <w:rPr>
          <w:rFonts w:hint="eastAsia" w:eastAsia="宋体" w:cs="Times New Roman"/>
          <w:sz w:val="21"/>
          <w:szCs w:val="21"/>
          <w:lang w:val="en-US" w:eastAsia="zh-CN"/>
        </w:rPr>
        <w:t>should not impact the procedures that based on the cell level measurement results.</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pPr>
      <w:r>
        <w:rPr>
          <w:rFonts w:hint="eastAsia"/>
          <w:lang w:val="en-US" w:eastAsia="zh-CN"/>
        </w:rPr>
        <w:t xml:space="preserve">Compared to beam change due to mobility, the only difference of height-based </w:t>
      </w:r>
      <w:r>
        <w:rPr>
          <w:rFonts w:hint="eastAsia"/>
          <w:i/>
          <w:iCs/>
          <w:sz w:val="21"/>
          <w:szCs w:val="21"/>
          <w:lang w:val="en-US" w:eastAsia="zh-CN"/>
        </w:rPr>
        <w:t xml:space="preserve">SSB-ToMeasure </w:t>
      </w:r>
      <w:r>
        <w:rPr>
          <w:rFonts w:hint="eastAsia"/>
          <w:lang w:val="en-US" w:eastAsia="zh-CN"/>
        </w:rPr>
        <w:t xml:space="preserve">is to capture the condition that </w:t>
      </w:r>
      <w:r>
        <w:t xml:space="preserve">UE start or stop </w:t>
      </w:r>
      <w:r>
        <w:rPr>
          <w:rFonts w:hint="eastAsia"/>
          <w:lang w:val="en-US" w:eastAsia="zh-CN"/>
        </w:rPr>
        <w:t>applying</w:t>
      </w:r>
      <w:r>
        <w:t xml:space="preserve"> </w:t>
      </w:r>
      <w:r>
        <w:rPr>
          <w:rFonts w:hint="eastAsia"/>
          <w:lang w:val="en-US" w:eastAsia="zh-CN"/>
        </w:rPr>
        <w:t>new</w:t>
      </w:r>
      <w:r>
        <w:rPr>
          <w:rFonts w:hint="eastAsia"/>
          <w:i/>
          <w:iCs/>
          <w:lang w:val="en-US" w:eastAsia="zh-CN"/>
        </w:rPr>
        <w:t xml:space="preserve"> </w:t>
      </w:r>
      <w:r>
        <w:rPr>
          <w:rFonts w:hint="eastAsia"/>
          <w:i w:val="0"/>
          <w:iCs w:val="0"/>
          <w:lang w:val="en-US" w:eastAsia="zh-CN"/>
        </w:rPr>
        <w:t>configuration</w:t>
      </w:r>
      <w:r>
        <w:t>.</w:t>
      </w:r>
    </w:p>
    <w:p>
      <w:pPr>
        <w:keepNext w:val="0"/>
        <w:keepLines w:val="0"/>
        <w:pageBreakBefore w:val="0"/>
        <w:widowControl w:val="0"/>
        <w:kinsoku/>
        <w:wordWrap/>
        <w:overflowPunct/>
        <w:topLinePunct w:val="0"/>
        <w:autoSpaceDE/>
        <w:autoSpaceDN/>
        <w:bidi w:val="0"/>
        <w:adjustRightInd/>
        <w:snapToGrid/>
        <w:spacing w:after="120" w:line="240" w:lineRule="auto"/>
        <w:ind w:left="1486" w:leftChars="0" w:hanging="1486" w:hangingChars="705"/>
        <w:jc w:val="left"/>
        <w:textAlignment w:val="auto"/>
        <w:rPr>
          <w:b/>
          <w:bCs/>
          <w:szCs w:val="21"/>
        </w:rPr>
      </w:pPr>
      <w:r>
        <w:rPr>
          <w:b/>
          <w:bCs/>
          <w:szCs w:val="21"/>
        </w:rPr>
        <w:t xml:space="preserve">Observation </w:t>
      </w:r>
      <w:r>
        <w:rPr>
          <w:rFonts w:hint="eastAsia"/>
          <w:b/>
          <w:bCs/>
          <w:szCs w:val="21"/>
          <w:lang w:val="en-US" w:eastAsia="zh-CN"/>
        </w:rPr>
        <w:t>3</w:t>
      </w:r>
      <w:r>
        <w:rPr>
          <w:b/>
          <w:bCs/>
          <w:szCs w:val="21"/>
        </w:rPr>
        <w:t xml:space="preserve">: From L3 measurement point of view, the change of </w:t>
      </w:r>
      <w:r>
        <w:rPr>
          <w:rFonts w:hint="eastAsia"/>
          <w:b/>
          <w:bCs/>
          <w:i/>
          <w:iCs/>
          <w:sz w:val="21"/>
          <w:szCs w:val="21"/>
          <w:lang w:val="en-US" w:eastAsia="zh-CN"/>
        </w:rPr>
        <w:t>SSB-ToMeasure</w:t>
      </w:r>
      <w:r>
        <w:rPr>
          <w:b/>
          <w:bCs/>
          <w:szCs w:val="21"/>
        </w:rPr>
        <w:t xml:space="preserve"> </w:t>
      </w:r>
      <w:r>
        <w:rPr>
          <w:rFonts w:hint="eastAsia"/>
          <w:b/>
          <w:bCs/>
          <w:szCs w:val="21"/>
          <w:lang w:val="en-US" w:eastAsia="zh-CN"/>
        </w:rPr>
        <w:t xml:space="preserve">due to change of height range </w:t>
      </w:r>
      <w:r>
        <w:rPr>
          <w:b/>
          <w:bCs/>
          <w:szCs w:val="21"/>
        </w:rPr>
        <w:t>is similar to the change of beams</w:t>
      </w:r>
      <w:r>
        <w:rPr>
          <w:rFonts w:hint="eastAsia"/>
          <w:b/>
          <w:bCs/>
          <w:szCs w:val="21"/>
          <w:lang w:val="en-US" w:eastAsia="zh-CN"/>
        </w:rPr>
        <w:t xml:space="preserve"> used for cell level derivation due to mobility.</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lang w:val="en-US" w:eastAsia="zh-CN"/>
        </w:rPr>
      </w:pPr>
      <w:r>
        <w:t xml:space="preserve">Therefore, if we model the </w:t>
      </w:r>
      <w:r>
        <w:rPr>
          <w:rFonts w:hint="eastAsia"/>
          <w:lang w:val="en-US" w:eastAsia="zh-CN"/>
        </w:rPr>
        <w:t>UE behavior in this way</w:t>
      </w:r>
      <w:r>
        <w:t xml:space="preserve">, the only </w:t>
      </w:r>
      <w:r>
        <w:rPr>
          <w:rFonts w:hint="eastAsia"/>
          <w:lang w:val="en-US" w:eastAsia="zh-CN"/>
        </w:rPr>
        <w:t>thing</w:t>
      </w:r>
      <w:r>
        <w:t xml:space="preserve"> </w:t>
      </w:r>
      <w:r>
        <w:rPr>
          <w:rFonts w:hint="eastAsia"/>
          <w:lang w:val="en-US" w:eastAsia="zh-CN"/>
        </w:rPr>
        <w:t xml:space="preserve">needs to </w:t>
      </w:r>
      <w:r>
        <w:t xml:space="preserve">be captured is </w:t>
      </w:r>
      <w:r>
        <w:rPr>
          <w:rFonts w:hint="eastAsia"/>
          <w:lang w:val="en-US" w:eastAsia="zh-CN"/>
        </w:rPr>
        <w:t xml:space="preserve">the condition that </w:t>
      </w:r>
      <w:r>
        <w:t>UE applies the</w:t>
      </w:r>
      <w:r>
        <w:rPr>
          <w:rFonts w:hint="eastAsia"/>
          <w:i/>
          <w:iCs/>
          <w:sz w:val="21"/>
          <w:szCs w:val="21"/>
          <w:lang w:val="en-US" w:eastAsia="zh-CN"/>
        </w:rPr>
        <w:t xml:space="preserve"> SSB-ToMeasure</w:t>
      </w:r>
      <w:r>
        <w:t xml:space="preserve"> value </w:t>
      </w:r>
      <w:r>
        <w:rPr>
          <w:rFonts w:hint="eastAsia"/>
          <w:lang w:val="en-US" w:eastAsia="zh-CN"/>
        </w:rPr>
        <w:t xml:space="preserve">and stops applying the </w:t>
      </w:r>
      <w:r>
        <w:rPr>
          <w:rFonts w:hint="eastAsia"/>
          <w:i/>
          <w:iCs/>
          <w:sz w:val="21"/>
          <w:szCs w:val="21"/>
          <w:lang w:val="en-US" w:eastAsia="zh-CN"/>
        </w:rPr>
        <w:t>SSB-ToMeasure</w:t>
      </w:r>
      <w:r>
        <w:rPr>
          <w:rFonts w:hint="eastAsia"/>
          <w:lang w:val="en-US" w:eastAsia="zh-CN"/>
        </w:rPr>
        <w:t xml:space="preserve"> value. Except for this, we can leave to UE implementation to handle the change of </w:t>
      </w:r>
      <w:r>
        <w:rPr>
          <w:rFonts w:hint="eastAsia"/>
          <w:i/>
          <w:iCs/>
          <w:lang w:val="en-US" w:eastAsia="zh-CN"/>
        </w:rPr>
        <w:t xml:space="preserve">SSB-ToMeasure </w:t>
      </w:r>
      <w:r>
        <w:rPr>
          <w:rFonts w:hint="eastAsia"/>
          <w:lang w:val="en-US" w:eastAsia="zh-CN"/>
        </w:rPr>
        <w:t>configuration.</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Cs w:val="21"/>
          <w:lang w:val="en-US" w:eastAsia="zh-CN"/>
        </w:rPr>
      </w:pPr>
      <w:r>
        <w:rPr>
          <w:rFonts w:hint="eastAsia"/>
          <w:b/>
          <w:bCs/>
          <w:szCs w:val="21"/>
          <w:lang w:val="en-US" w:eastAsia="zh-CN"/>
        </w:rPr>
        <w:t>Proposal 5: It</w:t>
      </w:r>
      <w:r>
        <w:rPr>
          <w:rFonts w:hint="default"/>
          <w:b/>
          <w:bCs/>
          <w:szCs w:val="21"/>
          <w:lang w:val="en-US" w:eastAsia="zh-CN"/>
        </w:rPr>
        <w:t>’</w:t>
      </w:r>
      <w:r>
        <w:rPr>
          <w:rFonts w:hint="eastAsia"/>
          <w:b/>
          <w:bCs/>
          <w:szCs w:val="21"/>
          <w:lang w:val="en-US" w:eastAsia="zh-CN"/>
        </w:rPr>
        <w:t xml:space="preserve">s left to UE implementation on how to handle the change of </w:t>
      </w:r>
      <w:r>
        <w:rPr>
          <w:rFonts w:hint="eastAsia"/>
          <w:b/>
          <w:bCs/>
          <w:i/>
          <w:iCs/>
          <w:szCs w:val="21"/>
          <w:lang w:val="en-US" w:eastAsia="zh-CN"/>
        </w:rPr>
        <w:t xml:space="preserve">SSB-ToMeasure </w:t>
      </w:r>
      <w:r>
        <w:rPr>
          <w:rFonts w:hint="eastAsia"/>
          <w:b/>
          <w:bCs/>
          <w:szCs w:val="21"/>
          <w:lang w:val="en-US" w:eastAsia="zh-CN"/>
        </w:rPr>
        <w:t xml:space="preserve">configuration due to change of height range. </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Cs w:val="21"/>
          <w:lang w:val="en-US" w:eastAsia="zh-CN"/>
        </w:rPr>
      </w:pPr>
      <w:r>
        <w:rPr>
          <w:rFonts w:hint="eastAsia"/>
          <w:b/>
          <w:bCs/>
          <w:szCs w:val="21"/>
          <w:lang w:val="en-US" w:eastAsia="zh-CN"/>
        </w:rPr>
        <w:t>Proposal 6:To capture in spec the condition that UE starts and stops to apply the height dependent</w:t>
      </w:r>
      <w:r>
        <w:rPr>
          <w:rFonts w:hint="eastAsia"/>
          <w:b/>
          <w:bCs/>
          <w:i/>
          <w:iCs/>
          <w:szCs w:val="21"/>
          <w:lang w:val="en-US" w:eastAsia="zh-CN"/>
        </w:rPr>
        <w:t xml:space="preserve"> SSB-ToMeasure </w:t>
      </w:r>
      <w:r>
        <w:rPr>
          <w:rFonts w:hint="eastAsia"/>
          <w:b/>
          <w:bCs/>
          <w:szCs w:val="21"/>
          <w:lang w:val="en-US" w:eastAsia="zh-CN"/>
        </w:rPr>
        <w:t>configuration.</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i w:val="0"/>
          <w:iCs w:val="0"/>
        </w:rPr>
      </w:pPr>
      <w:r>
        <w:rPr>
          <w:rFonts w:hint="eastAsia"/>
          <w:i w:val="0"/>
          <w:iCs w:val="0"/>
          <w:lang w:val="en-US" w:eastAsia="zh-CN"/>
        </w:rPr>
        <w:t>Besides RRC_CONNECTED mode</w:t>
      </w:r>
      <w:r>
        <w:rPr>
          <w:i w:val="0"/>
          <w:iCs w:val="0"/>
        </w:rPr>
        <w:t xml:space="preserve">, we believe it is also beneficial to extend </w:t>
      </w:r>
      <w:r>
        <w:rPr>
          <w:rFonts w:hint="eastAsia"/>
          <w:i w:val="0"/>
          <w:iCs w:val="0"/>
          <w:lang w:val="en-US" w:eastAsia="zh-CN"/>
        </w:rPr>
        <w:t>height-dependent</w:t>
      </w:r>
      <w:r>
        <w:rPr>
          <w:i w:val="0"/>
          <w:iCs w:val="0"/>
        </w:rPr>
        <w:t xml:space="preserve"> </w:t>
      </w:r>
      <w:r>
        <w:rPr>
          <w:rFonts w:hint="eastAsia"/>
          <w:i/>
          <w:iCs/>
          <w:sz w:val="21"/>
          <w:szCs w:val="21"/>
          <w:lang w:val="en-US" w:eastAsia="zh-CN"/>
        </w:rPr>
        <w:t xml:space="preserve">SSB-ToMeasure </w:t>
      </w:r>
      <w:r>
        <w:rPr>
          <w:i w:val="0"/>
          <w:iCs w:val="0"/>
        </w:rPr>
        <w:t xml:space="preserve">mechanism to RRC_IDLE and RRC_INACTIVE </w:t>
      </w:r>
      <w:r>
        <w:rPr>
          <w:rFonts w:hint="eastAsia"/>
          <w:i w:val="0"/>
          <w:iCs w:val="0"/>
          <w:lang w:val="en-US" w:eastAsia="zh-CN"/>
        </w:rPr>
        <w:t>mode RRM measurement</w:t>
      </w:r>
      <w:r>
        <w:rPr>
          <w:i w:val="0"/>
          <w:iCs w:val="0"/>
        </w:rPr>
        <w:t>.</w:t>
      </w:r>
      <w:r>
        <w:rPr>
          <w:rFonts w:hint="eastAsia"/>
          <w:i w:val="0"/>
          <w:iCs w:val="0"/>
        </w:rPr>
        <w:t xml:space="preserve"> </w:t>
      </w:r>
      <w:r>
        <w:rPr>
          <w:rFonts w:hint="eastAsia"/>
          <w:i w:val="0"/>
          <w:iCs w:val="0"/>
          <w:lang w:val="en-US" w:eastAsia="zh-CN"/>
        </w:rPr>
        <w:t>I</w:t>
      </w:r>
      <w:r>
        <w:rPr>
          <w:i w:val="0"/>
          <w:iCs w:val="0"/>
        </w:rPr>
        <w:t xml:space="preserve">t is also </w:t>
      </w:r>
      <w:r>
        <w:rPr>
          <w:rFonts w:hint="eastAsia"/>
          <w:i w:val="0"/>
          <w:iCs w:val="0"/>
          <w:lang w:eastAsia="zh-CN"/>
        </w:rPr>
        <w:t>beneficial</w:t>
      </w:r>
      <w:r>
        <w:rPr>
          <w:i w:val="0"/>
          <w:iCs w:val="0"/>
        </w:rPr>
        <w:t xml:space="preserve"> to apply this mechanism </w:t>
      </w:r>
      <w:r>
        <w:rPr>
          <w:rFonts w:hint="eastAsia"/>
          <w:i w:val="0"/>
          <w:iCs w:val="0"/>
          <w:lang w:val="en-US" w:eastAsia="zh-CN"/>
        </w:rPr>
        <w:t>in</w:t>
      </w:r>
      <w:r>
        <w:rPr>
          <w:i w:val="0"/>
          <w:iCs w:val="0"/>
        </w:rPr>
        <w:t xml:space="preserve"> RACH resource selection</w:t>
      </w:r>
      <w:r>
        <w:rPr>
          <w:rFonts w:hint="eastAsia"/>
          <w:i w:val="0"/>
          <w:iCs w:val="0"/>
          <w:lang w:val="en-US" w:eastAsia="zh-CN"/>
        </w:rPr>
        <w:t xml:space="preserve"> which is based on SSB measurement</w:t>
      </w:r>
      <w:r>
        <w:rPr>
          <w:i w:val="0"/>
          <w:iCs w:val="0"/>
        </w:rPr>
        <w:t>.</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Cs w:val="21"/>
        </w:rPr>
      </w:pPr>
      <w:r>
        <w:rPr>
          <w:rFonts w:hint="eastAsia"/>
          <w:b/>
          <w:bCs/>
          <w:i w:val="0"/>
          <w:iCs w:val="0"/>
          <w:szCs w:val="21"/>
        </w:rPr>
        <w:t>Proposal</w:t>
      </w:r>
      <w:r>
        <w:rPr>
          <w:b/>
          <w:bCs/>
          <w:i w:val="0"/>
          <w:iCs w:val="0"/>
          <w:szCs w:val="21"/>
        </w:rPr>
        <w:t xml:space="preserve"> </w:t>
      </w:r>
      <w:r>
        <w:rPr>
          <w:rFonts w:hint="eastAsia"/>
          <w:b/>
          <w:bCs/>
          <w:i w:val="0"/>
          <w:iCs w:val="0"/>
          <w:szCs w:val="21"/>
          <w:lang w:val="en-US" w:eastAsia="zh-CN"/>
        </w:rPr>
        <w:t>7</w:t>
      </w:r>
      <w:r>
        <w:rPr>
          <w:rFonts w:hint="eastAsia"/>
          <w:b/>
          <w:bCs/>
          <w:i w:val="0"/>
          <w:iCs w:val="0"/>
          <w:szCs w:val="21"/>
        </w:rPr>
        <w:t>: To extend height-dependent</w:t>
      </w:r>
      <w:r>
        <w:rPr>
          <w:rFonts w:hint="eastAsia"/>
          <w:b/>
          <w:bCs/>
          <w:i/>
          <w:iCs/>
          <w:sz w:val="21"/>
          <w:szCs w:val="21"/>
          <w:lang w:val="en-US" w:eastAsia="zh-CN"/>
        </w:rPr>
        <w:t xml:space="preserve"> SSB-ToMeasure </w:t>
      </w:r>
      <w:r>
        <w:rPr>
          <w:rFonts w:hint="eastAsia"/>
          <w:b/>
          <w:bCs/>
          <w:i w:val="0"/>
          <w:iCs w:val="0"/>
          <w:szCs w:val="21"/>
        </w:rPr>
        <w:t xml:space="preserve">to RRM measurement for cell </w:t>
      </w:r>
      <w:r>
        <w:rPr>
          <w:rFonts w:hint="eastAsia"/>
          <w:b/>
          <w:bCs/>
          <w:i w:val="0"/>
          <w:iCs w:val="0"/>
          <w:szCs w:val="21"/>
          <w:lang w:eastAsia="zh-CN"/>
        </w:rPr>
        <w:t>re-selection</w:t>
      </w:r>
      <w:r>
        <w:rPr>
          <w:rFonts w:hint="eastAsia"/>
          <w:b/>
          <w:bCs/>
          <w:i w:val="0"/>
          <w:iCs w:val="0"/>
          <w:szCs w:val="21"/>
          <w:lang w:val="en-US" w:eastAsia="zh-CN"/>
        </w:rPr>
        <w:t xml:space="preserve">, </w:t>
      </w:r>
      <w:r>
        <w:rPr>
          <w:rFonts w:hint="eastAsia"/>
          <w:b/>
          <w:bCs/>
          <w:i w:val="0"/>
          <w:iCs w:val="0"/>
          <w:szCs w:val="21"/>
        </w:rPr>
        <w:t>Idle/</w:t>
      </w:r>
      <w:r>
        <w:rPr>
          <w:rFonts w:hint="eastAsia"/>
          <w:b/>
          <w:bCs/>
          <w:i w:val="0"/>
          <w:iCs w:val="0"/>
          <w:szCs w:val="21"/>
          <w:lang w:eastAsia="zh-CN"/>
        </w:rPr>
        <w:t>I</w:t>
      </w:r>
      <w:r>
        <w:rPr>
          <w:rFonts w:hint="eastAsia"/>
          <w:b/>
          <w:bCs/>
          <w:i w:val="0"/>
          <w:iCs w:val="0"/>
          <w:szCs w:val="21"/>
        </w:rPr>
        <w:t xml:space="preserve">nactive </w:t>
      </w:r>
      <w:r>
        <w:rPr>
          <w:rFonts w:hint="eastAsia"/>
          <w:b/>
          <w:bCs/>
          <w:i w:val="0"/>
          <w:iCs w:val="0"/>
          <w:szCs w:val="21"/>
          <w:lang w:val="en-US" w:eastAsia="zh-CN"/>
        </w:rPr>
        <w:t>m</w:t>
      </w:r>
      <w:r>
        <w:rPr>
          <w:rFonts w:hint="eastAsia"/>
          <w:b/>
          <w:bCs/>
          <w:i w:val="0"/>
          <w:iCs w:val="0"/>
          <w:szCs w:val="21"/>
        </w:rPr>
        <w:t>easurements</w:t>
      </w:r>
      <w:r>
        <w:rPr>
          <w:b/>
          <w:bCs/>
          <w:i w:val="0"/>
          <w:iCs w:val="0"/>
          <w:szCs w:val="21"/>
        </w:rPr>
        <w:t xml:space="preserve"> and </w:t>
      </w:r>
      <w:r>
        <w:rPr>
          <w:rFonts w:hint="eastAsia"/>
          <w:b/>
          <w:bCs/>
          <w:i w:val="0"/>
          <w:iCs w:val="0"/>
          <w:szCs w:val="21"/>
        </w:rPr>
        <w:t>RACH resource 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ind w:left="1490" w:leftChars="0" w:hanging="1490" w:hangingChars="707"/>
        <w:jc w:val="left"/>
        <w:textAlignment w:val="auto"/>
        <w:rPr>
          <w:rFonts w:hint="default"/>
          <w:b/>
          <w:bCs/>
          <w:szCs w:val="21"/>
          <w:lang w:val="en-US" w:eastAsia="zh-CN"/>
        </w:rPr>
      </w:pPr>
      <w:r>
        <w:rPr>
          <w:rFonts w:hint="eastAsia"/>
          <w:b/>
          <w:bCs/>
          <w:szCs w:val="21"/>
          <w:lang w:val="en-US" w:eastAsia="zh-CN"/>
        </w:rPr>
        <w:t>Observation 1: Misalignment between UE and network occurs if UE autonomously performs RRC reconfiguration procedure when move in new height range. Extra efforts are needed to avoid such misalignment.</w:t>
      </w:r>
    </w:p>
    <w:p>
      <w:pPr>
        <w:keepNext w:val="0"/>
        <w:keepLines w:val="0"/>
        <w:pageBreakBefore w:val="0"/>
        <w:widowControl w:val="0"/>
        <w:kinsoku/>
        <w:wordWrap/>
        <w:overflowPunct/>
        <w:topLinePunct w:val="0"/>
        <w:autoSpaceDE/>
        <w:autoSpaceDN/>
        <w:bidi w:val="0"/>
        <w:adjustRightInd/>
        <w:snapToGrid/>
        <w:spacing w:after="120" w:line="240" w:lineRule="auto"/>
        <w:ind w:left="1490" w:leftChars="0" w:hanging="1490" w:hangingChars="707"/>
        <w:jc w:val="left"/>
        <w:textAlignment w:val="auto"/>
        <w:rPr>
          <w:rFonts w:hint="eastAsia"/>
          <w:b/>
          <w:bCs/>
          <w:szCs w:val="21"/>
          <w:lang w:val="en-US" w:eastAsia="zh-CN"/>
        </w:rPr>
      </w:pPr>
      <w:r>
        <w:rPr>
          <w:rFonts w:hint="eastAsia"/>
          <w:b/>
          <w:bCs/>
          <w:szCs w:val="21"/>
          <w:lang w:val="en-US" w:eastAsia="zh-CN"/>
        </w:rPr>
        <w:t>Observation 2: The UE behavior on the change of the beams used for cell level quality derivation is not specified.</w:t>
      </w:r>
    </w:p>
    <w:p>
      <w:pPr>
        <w:keepNext w:val="0"/>
        <w:keepLines w:val="0"/>
        <w:pageBreakBefore w:val="0"/>
        <w:widowControl w:val="0"/>
        <w:kinsoku/>
        <w:wordWrap/>
        <w:overflowPunct/>
        <w:topLinePunct w:val="0"/>
        <w:autoSpaceDE/>
        <w:autoSpaceDN/>
        <w:bidi w:val="0"/>
        <w:adjustRightInd/>
        <w:snapToGrid/>
        <w:spacing w:after="120" w:line="240" w:lineRule="auto"/>
        <w:ind w:left="1486" w:leftChars="0" w:hanging="1486" w:hangingChars="705"/>
        <w:jc w:val="left"/>
        <w:textAlignment w:val="auto"/>
        <w:rPr>
          <w:b/>
          <w:bCs/>
          <w:szCs w:val="21"/>
        </w:rPr>
      </w:pPr>
      <w:r>
        <w:rPr>
          <w:b/>
          <w:bCs/>
          <w:szCs w:val="21"/>
        </w:rPr>
        <w:t xml:space="preserve">Observation </w:t>
      </w:r>
      <w:r>
        <w:rPr>
          <w:rFonts w:hint="eastAsia"/>
          <w:b/>
          <w:bCs/>
          <w:szCs w:val="21"/>
          <w:lang w:val="en-US" w:eastAsia="zh-CN"/>
        </w:rPr>
        <w:t>3</w:t>
      </w:r>
      <w:r>
        <w:rPr>
          <w:b/>
          <w:bCs/>
          <w:szCs w:val="21"/>
        </w:rPr>
        <w:t xml:space="preserve">: From L3 measurement point of view, the change of </w:t>
      </w:r>
      <w:r>
        <w:rPr>
          <w:rFonts w:hint="eastAsia"/>
          <w:b/>
          <w:bCs/>
          <w:i/>
          <w:iCs/>
          <w:szCs w:val="21"/>
        </w:rPr>
        <w:t>SSB-ToMea</w:t>
      </w:r>
      <w:r>
        <w:rPr>
          <w:rFonts w:hint="eastAsia"/>
          <w:b/>
          <w:bCs/>
          <w:i/>
          <w:iCs/>
          <w:szCs w:val="21"/>
          <w:lang w:val="en-US" w:eastAsia="zh-CN"/>
        </w:rPr>
        <w:t>s</w:t>
      </w:r>
      <w:r>
        <w:rPr>
          <w:rFonts w:hint="eastAsia"/>
          <w:b/>
          <w:bCs/>
          <w:i/>
          <w:iCs/>
          <w:szCs w:val="21"/>
        </w:rPr>
        <w:t xml:space="preserve">ure </w:t>
      </w:r>
      <w:r>
        <w:rPr>
          <w:rFonts w:hint="eastAsia"/>
          <w:b/>
          <w:bCs/>
          <w:szCs w:val="21"/>
          <w:lang w:val="en-US" w:eastAsia="zh-CN"/>
        </w:rPr>
        <w:t xml:space="preserve">due to change of height range </w:t>
      </w:r>
      <w:r>
        <w:rPr>
          <w:b/>
          <w:bCs/>
          <w:szCs w:val="21"/>
        </w:rPr>
        <w:t>is similar to the change of beams</w:t>
      </w:r>
      <w:r>
        <w:rPr>
          <w:rFonts w:hint="eastAsia"/>
          <w:b/>
          <w:bCs/>
          <w:szCs w:val="21"/>
          <w:lang w:val="en-US" w:eastAsia="zh-CN"/>
        </w:rPr>
        <w:t xml:space="preserve"> used for cell level derivation due to mobility.</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 w:val="21"/>
          <w:szCs w:val="21"/>
          <w:lang w:val="en-US" w:eastAsia="zh-CN"/>
        </w:rPr>
      </w:pPr>
      <w:r>
        <w:rPr>
          <w:rFonts w:hint="eastAsia"/>
          <w:b/>
          <w:bCs/>
          <w:sz w:val="21"/>
          <w:szCs w:val="21"/>
          <w:lang w:val="en-US" w:eastAsia="zh-CN"/>
        </w:rPr>
        <w:t>Proposal 1: The number of height ranges can be more than two. The maximum height range number can be decided in stage-3.</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 w:val="21"/>
          <w:szCs w:val="21"/>
          <w:lang w:val="en-US" w:eastAsia="zh-CN"/>
        </w:rPr>
      </w:pPr>
      <w:r>
        <w:rPr>
          <w:rFonts w:hint="eastAsia"/>
          <w:b/>
          <w:bCs/>
          <w:sz w:val="21"/>
          <w:szCs w:val="21"/>
          <w:lang w:val="en-US" w:eastAsia="zh-CN"/>
        </w:rPr>
        <w:t>Proposal 2: Hysteresis is applied for both entering and leaving a height range. Only one hysteresis is configured for a height range.</w:t>
      </w:r>
    </w:p>
    <w:p>
      <w:pPr>
        <w:keepNext w:val="0"/>
        <w:keepLines w:val="0"/>
        <w:pageBreakBefore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 w:val="21"/>
          <w:szCs w:val="21"/>
          <w:lang w:val="en-US" w:eastAsia="zh-CN"/>
        </w:rPr>
      </w:pPr>
      <w:r>
        <w:rPr>
          <w:rFonts w:hint="eastAsia"/>
          <w:b/>
          <w:bCs/>
          <w:sz w:val="21"/>
          <w:szCs w:val="21"/>
          <w:lang w:val="en-US" w:eastAsia="zh-CN"/>
        </w:rPr>
        <w:t>Proposal 3: If more than two height ranges are configured, one hysteresis value is shared by all height ranges.</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 w:val="21"/>
          <w:szCs w:val="21"/>
          <w:lang w:val="en-US" w:eastAsia="zh-CN"/>
        </w:rPr>
      </w:pPr>
      <w:r>
        <w:rPr>
          <w:rFonts w:hint="eastAsia"/>
          <w:b/>
          <w:bCs/>
          <w:sz w:val="21"/>
          <w:szCs w:val="21"/>
          <w:lang w:val="en-US" w:eastAsia="zh-CN"/>
        </w:rPr>
        <w:t>Proposal 4: It</w:t>
      </w:r>
      <w:r>
        <w:rPr>
          <w:rFonts w:hint="default"/>
          <w:b/>
          <w:bCs/>
          <w:sz w:val="21"/>
          <w:szCs w:val="21"/>
          <w:lang w:val="en-US" w:eastAsia="zh-CN"/>
        </w:rPr>
        <w:t>’</w:t>
      </w:r>
      <w:r>
        <w:rPr>
          <w:rFonts w:hint="eastAsia"/>
          <w:b/>
          <w:bCs/>
          <w:sz w:val="21"/>
          <w:szCs w:val="21"/>
          <w:lang w:val="en-US" w:eastAsia="zh-CN"/>
        </w:rPr>
        <w:t xml:space="preserve">s up to network implementation to ensure there is no overlapping on height ranges. </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Cs w:val="21"/>
          <w:lang w:val="en-US" w:eastAsia="zh-CN"/>
        </w:rPr>
      </w:pPr>
      <w:r>
        <w:rPr>
          <w:rFonts w:hint="eastAsia"/>
          <w:b/>
          <w:bCs/>
          <w:szCs w:val="21"/>
          <w:lang w:val="en-US" w:eastAsia="zh-CN"/>
        </w:rPr>
        <w:t>Proposal 5: It</w:t>
      </w:r>
      <w:r>
        <w:rPr>
          <w:rFonts w:hint="default"/>
          <w:b/>
          <w:bCs/>
          <w:szCs w:val="21"/>
          <w:lang w:val="en-US" w:eastAsia="zh-CN"/>
        </w:rPr>
        <w:t>’</w:t>
      </w:r>
      <w:r>
        <w:rPr>
          <w:rFonts w:hint="eastAsia"/>
          <w:b/>
          <w:bCs/>
          <w:szCs w:val="21"/>
          <w:lang w:val="en-US" w:eastAsia="zh-CN"/>
        </w:rPr>
        <w:t xml:space="preserve">s left to UE implementation on how to handle the change of </w:t>
      </w:r>
      <w:r>
        <w:rPr>
          <w:rFonts w:hint="eastAsia"/>
          <w:b/>
          <w:bCs/>
          <w:i/>
          <w:iCs/>
          <w:szCs w:val="21"/>
          <w:lang w:val="en-US" w:eastAsia="zh-CN"/>
        </w:rPr>
        <w:t xml:space="preserve">SSB-ToMeasure </w:t>
      </w:r>
      <w:r>
        <w:rPr>
          <w:rFonts w:hint="eastAsia"/>
          <w:b/>
          <w:bCs/>
          <w:szCs w:val="21"/>
          <w:lang w:val="en-US" w:eastAsia="zh-CN"/>
        </w:rPr>
        <w:t xml:space="preserve">configuration due to change of height range. </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default"/>
          <w:b/>
          <w:bCs/>
          <w:szCs w:val="21"/>
          <w:lang w:val="en-US" w:eastAsia="zh-CN"/>
        </w:rPr>
      </w:pPr>
      <w:r>
        <w:rPr>
          <w:rFonts w:hint="eastAsia"/>
          <w:b/>
          <w:bCs/>
          <w:szCs w:val="21"/>
          <w:lang w:val="en-US" w:eastAsia="zh-CN"/>
        </w:rPr>
        <w:t>Proposal 6:To capture in spec the condition that UE starts and stops to apply the height dependent</w:t>
      </w:r>
      <w:r>
        <w:rPr>
          <w:rFonts w:hint="eastAsia"/>
          <w:b/>
          <w:bCs/>
          <w:i/>
          <w:iCs/>
          <w:szCs w:val="21"/>
          <w:lang w:val="en-US" w:eastAsia="zh-CN"/>
        </w:rPr>
        <w:t xml:space="preserve"> SSB-ToMeasure </w:t>
      </w:r>
      <w:r>
        <w:rPr>
          <w:rFonts w:hint="eastAsia"/>
          <w:b/>
          <w:bCs/>
          <w:szCs w:val="21"/>
          <w:lang w:val="en-US" w:eastAsia="zh-CN"/>
        </w:rPr>
        <w:t>configuration.</w:t>
      </w:r>
    </w:p>
    <w:p>
      <w:pPr>
        <w:keepNext w:val="0"/>
        <w:keepLines w:val="0"/>
        <w:pageBreakBefore w:val="0"/>
        <w:widowControl w:val="0"/>
        <w:kinsoku/>
        <w:wordWrap/>
        <w:overflowPunct/>
        <w:topLinePunct w:val="0"/>
        <w:autoSpaceDE/>
        <w:autoSpaceDN/>
        <w:bidi w:val="0"/>
        <w:adjustRightInd/>
        <w:snapToGrid/>
        <w:spacing w:after="120" w:line="240" w:lineRule="auto"/>
        <w:ind w:left="1069" w:hanging="1069" w:hangingChars="507"/>
        <w:jc w:val="left"/>
        <w:textAlignment w:val="auto"/>
        <w:rPr>
          <w:rFonts w:hint="eastAsia"/>
          <w:b/>
          <w:bCs/>
          <w:szCs w:val="21"/>
        </w:rPr>
      </w:pPr>
      <w:r>
        <w:rPr>
          <w:rFonts w:hint="eastAsia"/>
          <w:b/>
          <w:bCs/>
          <w:i w:val="0"/>
          <w:iCs w:val="0"/>
          <w:szCs w:val="21"/>
        </w:rPr>
        <w:t>Proposal</w:t>
      </w:r>
      <w:r>
        <w:rPr>
          <w:b/>
          <w:bCs/>
          <w:i w:val="0"/>
          <w:iCs w:val="0"/>
          <w:szCs w:val="21"/>
        </w:rPr>
        <w:t xml:space="preserve"> </w:t>
      </w:r>
      <w:r>
        <w:rPr>
          <w:rFonts w:hint="eastAsia"/>
          <w:b/>
          <w:bCs/>
          <w:i w:val="0"/>
          <w:iCs w:val="0"/>
          <w:szCs w:val="21"/>
          <w:lang w:val="en-US" w:eastAsia="zh-CN"/>
        </w:rPr>
        <w:t>7</w:t>
      </w:r>
      <w:r>
        <w:rPr>
          <w:rFonts w:hint="eastAsia"/>
          <w:b/>
          <w:bCs/>
          <w:i w:val="0"/>
          <w:iCs w:val="0"/>
          <w:szCs w:val="21"/>
        </w:rPr>
        <w:t xml:space="preserve">: To extend height-dependent </w:t>
      </w:r>
      <w:r>
        <w:rPr>
          <w:rFonts w:hint="eastAsia"/>
          <w:b/>
          <w:bCs/>
          <w:i/>
          <w:iCs/>
          <w:szCs w:val="21"/>
        </w:rPr>
        <w:t xml:space="preserve">SSB-ToMeasure </w:t>
      </w:r>
      <w:r>
        <w:rPr>
          <w:rFonts w:hint="eastAsia"/>
          <w:b/>
          <w:bCs/>
          <w:i w:val="0"/>
          <w:iCs w:val="0"/>
          <w:szCs w:val="21"/>
        </w:rPr>
        <w:t xml:space="preserve">to RRM measurement for cell </w:t>
      </w:r>
      <w:r>
        <w:rPr>
          <w:rFonts w:hint="eastAsia"/>
          <w:b/>
          <w:bCs/>
          <w:i w:val="0"/>
          <w:iCs w:val="0"/>
          <w:szCs w:val="21"/>
          <w:lang w:eastAsia="zh-CN"/>
        </w:rPr>
        <w:t>re-selection</w:t>
      </w:r>
      <w:r>
        <w:rPr>
          <w:rFonts w:hint="eastAsia"/>
          <w:b/>
          <w:bCs/>
          <w:i w:val="0"/>
          <w:iCs w:val="0"/>
          <w:szCs w:val="21"/>
          <w:lang w:val="en-US" w:eastAsia="zh-CN"/>
        </w:rPr>
        <w:t xml:space="preserve">, </w:t>
      </w:r>
      <w:r>
        <w:rPr>
          <w:rFonts w:hint="eastAsia"/>
          <w:b/>
          <w:bCs/>
          <w:i w:val="0"/>
          <w:iCs w:val="0"/>
          <w:szCs w:val="21"/>
        </w:rPr>
        <w:t>Idle/</w:t>
      </w:r>
      <w:r>
        <w:rPr>
          <w:rFonts w:hint="eastAsia"/>
          <w:b/>
          <w:bCs/>
          <w:i w:val="0"/>
          <w:iCs w:val="0"/>
          <w:szCs w:val="21"/>
          <w:lang w:eastAsia="zh-CN"/>
        </w:rPr>
        <w:t>I</w:t>
      </w:r>
      <w:r>
        <w:rPr>
          <w:rFonts w:hint="eastAsia"/>
          <w:b/>
          <w:bCs/>
          <w:i w:val="0"/>
          <w:iCs w:val="0"/>
          <w:szCs w:val="21"/>
        </w:rPr>
        <w:t xml:space="preserve">nactive </w:t>
      </w:r>
      <w:r>
        <w:rPr>
          <w:rFonts w:hint="eastAsia"/>
          <w:b/>
          <w:bCs/>
          <w:i w:val="0"/>
          <w:iCs w:val="0"/>
          <w:szCs w:val="21"/>
          <w:lang w:val="en-US" w:eastAsia="zh-CN"/>
        </w:rPr>
        <w:t>m</w:t>
      </w:r>
      <w:r>
        <w:rPr>
          <w:rFonts w:hint="eastAsia"/>
          <w:b/>
          <w:bCs/>
          <w:i w:val="0"/>
          <w:iCs w:val="0"/>
          <w:szCs w:val="21"/>
        </w:rPr>
        <w:t>easurements</w:t>
      </w:r>
      <w:r>
        <w:rPr>
          <w:b/>
          <w:bCs/>
          <w:i w:val="0"/>
          <w:iCs w:val="0"/>
          <w:szCs w:val="21"/>
        </w:rPr>
        <w:t xml:space="preserve"> and </w:t>
      </w:r>
      <w:r>
        <w:rPr>
          <w:rFonts w:hint="eastAsia"/>
          <w:b/>
          <w:bCs/>
          <w:i w:val="0"/>
          <w:iCs w:val="0"/>
          <w:szCs w:val="21"/>
        </w:rPr>
        <w:t>RACH resource 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spacing w:after="120" w:line="240" w:lineRule="auto"/>
        <w:textAlignment w:val="baseline"/>
      </w:pPr>
      <w:r>
        <w:rPr>
          <w:rFonts w:hint="eastAsia"/>
        </w:rPr>
        <w:t>RAN2#121-bis chairman notes</w:t>
      </w:r>
    </w:p>
    <w:p>
      <w:pPr>
        <w:numPr>
          <w:ilvl w:val="0"/>
          <w:numId w:val="8"/>
        </w:numPr>
        <w:overflowPunct w:val="0"/>
        <w:autoSpaceDE w:val="0"/>
        <w:autoSpaceDN w:val="0"/>
        <w:adjustRightInd w:val="0"/>
        <w:spacing w:after="120" w:line="240" w:lineRule="auto"/>
        <w:textAlignment w:val="baseline"/>
      </w:pPr>
      <w:r>
        <w:rPr>
          <w:rFonts w:hint="eastAsia"/>
          <w:lang w:val="en-US" w:eastAsia="zh-CN"/>
        </w:rPr>
        <w:t>RAN2#122 chairman notes</w:t>
      </w:r>
    </w:p>
    <w:p>
      <w:pPr>
        <w:numPr>
          <w:ilvl w:val="0"/>
          <w:numId w:val="8"/>
        </w:numPr>
        <w:overflowPunct w:val="0"/>
        <w:autoSpaceDE w:val="0"/>
        <w:autoSpaceDN w:val="0"/>
        <w:adjustRightInd w:val="0"/>
        <w:spacing w:after="120" w:line="240" w:lineRule="auto"/>
        <w:textAlignment w:val="baseline"/>
      </w:pPr>
      <w:r>
        <w:rPr>
          <w:rFonts w:hint="eastAsia"/>
          <w:lang w:val="en-US" w:eastAsia="zh-CN"/>
        </w:rPr>
        <w:t>TS 38.331</w:t>
      </w:r>
    </w:p>
    <w:sectPr>
      <w:pgSz w:w="11906" w:h="16838"/>
      <w:pgMar w:top="1417" w:right="141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66004E"/>
    <w:multiLevelType w:val="multilevel"/>
    <w:tmpl w:val="DA66004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F53D17AE"/>
    <w:multiLevelType w:val="multilevel"/>
    <w:tmpl w:val="F53D17A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6D56AB"/>
    <w:multiLevelType w:val="multilevel"/>
    <w:tmpl w:val="396D56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3"/>
  </w:num>
  <w:num w:numId="4">
    <w:abstractNumId w:val="6"/>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273F1"/>
    <w:rsid w:val="00035EF9"/>
    <w:rsid w:val="00037973"/>
    <w:rsid w:val="00040427"/>
    <w:rsid w:val="00040A63"/>
    <w:rsid w:val="0004105F"/>
    <w:rsid w:val="00042E6F"/>
    <w:rsid w:val="00043923"/>
    <w:rsid w:val="000563ED"/>
    <w:rsid w:val="000569AB"/>
    <w:rsid w:val="000635B8"/>
    <w:rsid w:val="000672AC"/>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850"/>
    <w:rsid w:val="000E1993"/>
    <w:rsid w:val="000E3B8A"/>
    <w:rsid w:val="000F0A7B"/>
    <w:rsid w:val="000F32E2"/>
    <w:rsid w:val="00100030"/>
    <w:rsid w:val="00105872"/>
    <w:rsid w:val="00111C96"/>
    <w:rsid w:val="00111CE0"/>
    <w:rsid w:val="00111DF0"/>
    <w:rsid w:val="001128B8"/>
    <w:rsid w:val="001135C5"/>
    <w:rsid w:val="001147C0"/>
    <w:rsid w:val="00117E6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77974"/>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97AF3"/>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EA5"/>
    <w:rsid w:val="001E0341"/>
    <w:rsid w:val="001E1C36"/>
    <w:rsid w:val="001E25FD"/>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406E"/>
    <w:rsid w:val="00297A88"/>
    <w:rsid w:val="002B22C6"/>
    <w:rsid w:val="002B24A3"/>
    <w:rsid w:val="002B2BBC"/>
    <w:rsid w:val="002B351B"/>
    <w:rsid w:val="002B3B5D"/>
    <w:rsid w:val="002B3C48"/>
    <w:rsid w:val="002B3D8F"/>
    <w:rsid w:val="002B434C"/>
    <w:rsid w:val="002B4F1D"/>
    <w:rsid w:val="002C0864"/>
    <w:rsid w:val="002C0F12"/>
    <w:rsid w:val="002C2EBF"/>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EE4"/>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CEF"/>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326"/>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C5690"/>
    <w:rsid w:val="003D01E0"/>
    <w:rsid w:val="003D0EF8"/>
    <w:rsid w:val="003D0F37"/>
    <w:rsid w:val="003D1324"/>
    <w:rsid w:val="003D1455"/>
    <w:rsid w:val="003D2B72"/>
    <w:rsid w:val="003D42C7"/>
    <w:rsid w:val="003D74F3"/>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B59"/>
    <w:rsid w:val="00482BBB"/>
    <w:rsid w:val="00485114"/>
    <w:rsid w:val="00485670"/>
    <w:rsid w:val="00485AE4"/>
    <w:rsid w:val="00486111"/>
    <w:rsid w:val="00487905"/>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067A"/>
    <w:rsid w:val="004F10CA"/>
    <w:rsid w:val="004F4675"/>
    <w:rsid w:val="004F557E"/>
    <w:rsid w:val="00501570"/>
    <w:rsid w:val="005017DA"/>
    <w:rsid w:val="0050411A"/>
    <w:rsid w:val="0050619E"/>
    <w:rsid w:val="00506680"/>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164D"/>
    <w:rsid w:val="00552EBE"/>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77D15"/>
    <w:rsid w:val="005842C1"/>
    <w:rsid w:val="00585E04"/>
    <w:rsid w:val="005910DD"/>
    <w:rsid w:val="00593F48"/>
    <w:rsid w:val="005940C1"/>
    <w:rsid w:val="0059566C"/>
    <w:rsid w:val="0059585E"/>
    <w:rsid w:val="00597952"/>
    <w:rsid w:val="005A05A3"/>
    <w:rsid w:val="005A3156"/>
    <w:rsid w:val="005A4048"/>
    <w:rsid w:val="005A53DF"/>
    <w:rsid w:val="005A6185"/>
    <w:rsid w:val="005B052E"/>
    <w:rsid w:val="005B220B"/>
    <w:rsid w:val="005B2E19"/>
    <w:rsid w:val="005B66D2"/>
    <w:rsid w:val="005B72AF"/>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6AED"/>
    <w:rsid w:val="006408DC"/>
    <w:rsid w:val="006413AD"/>
    <w:rsid w:val="00643A7A"/>
    <w:rsid w:val="0064545A"/>
    <w:rsid w:val="006503F8"/>
    <w:rsid w:val="00650D0F"/>
    <w:rsid w:val="00651856"/>
    <w:rsid w:val="00652024"/>
    <w:rsid w:val="006521E7"/>
    <w:rsid w:val="00655018"/>
    <w:rsid w:val="0065579F"/>
    <w:rsid w:val="0066451F"/>
    <w:rsid w:val="006702E2"/>
    <w:rsid w:val="00670351"/>
    <w:rsid w:val="006706AA"/>
    <w:rsid w:val="006718B7"/>
    <w:rsid w:val="00673154"/>
    <w:rsid w:val="00674597"/>
    <w:rsid w:val="006746B2"/>
    <w:rsid w:val="0067540D"/>
    <w:rsid w:val="0068365D"/>
    <w:rsid w:val="0068430C"/>
    <w:rsid w:val="00685237"/>
    <w:rsid w:val="00687C0B"/>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6E63"/>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1DE7"/>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3CF3"/>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E55"/>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6E87"/>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3273"/>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14B"/>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165F"/>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0A9E"/>
    <w:rsid w:val="00A31A13"/>
    <w:rsid w:val="00A323D7"/>
    <w:rsid w:val="00A32701"/>
    <w:rsid w:val="00A330EB"/>
    <w:rsid w:val="00A334CC"/>
    <w:rsid w:val="00A42BBE"/>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760E3"/>
    <w:rsid w:val="00A81A3A"/>
    <w:rsid w:val="00A82FB8"/>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214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39D"/>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656A"/>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571D"/>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72815"/>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3F75"/>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C39"/>
    <w:rsid w:val="00D56F3F"/>
    <w:rsid w:val="00D576EB"/>
    <w:rsid w:val="00D61F13"/>
    <w:rsid w:val="00D66C7F"/>
    <w:rsid w:val="00D672D6"/>
    <w:rsid w:val="00D67D4A"/>
    <w:rsid w:val="00D70B9D"/>
    <w:rsid w:val="00D72B46"/>
    <w:rsid w:val="00D74055"/>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D7880"/>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3DA7"/>
    <w:rsid w:val="00E45DCA"/>
    <w:rsid w:val="00E468CA"/>
    <w:rsid w:val="00E521EE"/>
    <w:rsid w:val="00E52C0C"/>
    <w:rsid w:val="00E61FB3"/>
    <w:rsid w:val="00E62B3D"/>
    <w:rsid w:val="00E6315A"/>
    <w:rsid w:val="00E65E86"/>
    <w:rsid w:val="00E71B00"/>
    <w:rsid w:val="00E73C7F"/>
    <w:rsid w:val="00E73F72"/>
    <w:rsid w:val="00E740D9"/>
    <w:rsid w:val="00E77036"/>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5D5"/>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1C39"/>
    <w:rsid w:val="00FA34B5"/>
    <w:rsid w:val="00FA5942"/>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093084"/>
    <w:rsid w:val="01131166"/>
    <w:rsid w:val="015074D5"/>
    <w:rsid w:val="016210DF"/>
    <w:rsid w:val="0165600B"/>
    <w:rsid w:val="016E3B27"/>
    <w:rsid w:val="01765EF2"/>
    <w:rsid w:val="01767489"/>
    <w:rsid w:val="01824A48"/>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D11B08"/>
    <w:rsid w:val="01EE78D1"/>
    <w:rsid w:val="02017286"/>
    <w:rsid w:val="020F2365"/>
    <w:rsid w:val="02115596"/>
    <w:rsid w:val="0212463B"/>
    <w:rsid w:val="02142423"/>
    <w:rsid w:val="02145888"/>
    <w:rsid w:val="021627D8"/>
    <w:rsid w:val="02193BD4"/>
    <w:rsid w:val="022D295E"/>
    <w:rsid w:val="02380A58"/>
    <w:rsid w:val="023E2A26"/>
    <w:rsid w:val="024412BB"/>
    <w:rsid w:val="02490685"/>
    <w:rsid w:val="024A4AC8"/>
    <w:rsid w:val="024B320F"/>
    <w:rsid w:val="025E22C8"/>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36F70"/>
    <w:rsid w:val="02E712F2"/>
    <w:rsid w:val="02E968F1"/>
    <w:rsid w:val="0310429F"/>
    <w:rsid w:val="03130048"/>
    <w:rsid w:val="03202434"/>
    <w:rsid w:val="03204437"/>
    <w:rsid w:val="032C42D8"/>
    <w:rsid w:val="033E499A"/>
    <w:rsid w:val="0347521D"/>
    <w:rsid w:val="035A5498"/>
    <w:rsid w:val="035B5483"/>
    <w:rsid w:val="03685A69"/>
    <w:rsid w:val="036C3B3B"/>
    <w:rsid w:val="036F0846"/>
    <w:rsid w:val="037175E3"/>
    <w:rsid w:val="03857386"/>
    <w:rsid w:val="03892EFE"/>
    <w:rsid w:val="03952494"/>
    <w:rsid w:val="03994D1D"/>
    <w:rsid w:val="039A2405"/>
    <w:rsid w:val="039A4F82"/>
    <w:rsid w:val="039A7700"/>
    <w:rsid w:val="039C19CD"/>
    <w:rsid w:val="03A13B95"/>
    <w:rsid w:val="03A74E48"/>
    <w:rsid w:val="03B21D7D"/>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C0433E"/>
    <w:rsid w:val="04EB5671"/>
    <w:rsid w:val="04ED36E0"/>
    <w:rsid w:val="04FB5FD2"/>
    <w:rsid w:val="050C31AF"/>
    <w:rsid w:val="05174168"/>
    <w:rsid w:val="051E36E6"/>
    <w:rsid w:val="053166CA"/>
    <w:rsid w:val="05332C41"/>
    <w:rsid w:val="053B7663"/>
    <w:rsid w:val="054C7D3F"/>
    <w:rsid w:val="054D4214"/>
    <w:rsid w:val="05526E77"/>
    <w:rsid w:val="056D39BD"/>
    <w:rsid w:val="05710C88"/>
    <w:rsid w:val="058267E3"/>
    <w:rsid w:val="058442CB"/>
    <w:rsid w:val="05854823"/>
    <w:rsid w:val="05861966"/>
    <w:rsid w:val="05961927"/>
    <w:rsid w:val="05B21BDC"/>
    <w:rsid w:val="05D1713F"/>
    <w:rsid w:val="05D92123"/>
    <w:rsid w:val="05DB1F60"/>
    <w:rsid w:val="05E024B6"/>
    <w:rsid w:val="05F13BE9"/>
    <w:rsid w:val="05F178AC"/>
    <w:rsid w:val="06017A73"/>
    <w:rsid w:val="06022874"/>
    <w:rsid w:val="060A555D"/>
    <w:rsid w:val="060F2E18"/>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4BF0"/>
    <w:rsid w:val="06DA5822"/>
    <w:rsid w:val="06EE5F3A"/>
    <w:rsid w:val="06F628A6"/>
    <w:rsid w:val="06F90F74"/>
    <w:rsid w:val="06FC5420"/>
    <w:rsid w:val="06FE56CC"/>
    <w:rsid w:val="0701056C"/>
    <w:rsid w:val="07056544"/>
    <w:rsid w:val="0706413A"/>
    <w:rsid w:val="070A19CE"/>
    <w:rsid w:val="070F4249"/>
    <w:rsid w:val="071E610B"/>
    <w:rsid w:val="07387A0E"/>
    <w:rsid w:val="074A02C8"/>
    <w:rsid w:val="074B5180"/>
    <w:rsid w:val="07505A8A"/>
    <w:rsid w:val="075926F1"/>
    <w:rsid w:val="07625AB8"/>
    <w:rsid w:val="07722969"/>
    <w:rsid w:val="078158EA"/>
    <w:rsid w:val="07843668"/>
    <w:rsid w:val="07847AEC"/>
    <w:rsid w:val="079368A6"/>
    <w:rsid w:val="07965C3F"/>
    <w:rsid w:val="079C5E01"/>
    <w:rsid w:val="07A575C7"/>
    <w:rsid w:val="07AA6390"/>
    <w:rsid w:val="07B47F2F"/>
    <w:rsid w:val="07BE2890"/>
    <w:rsid w:val="07C4242C"/>
    <w:rsid w:val="07C84D70"/>
    <w:rsid w:val="07CF1963"/>
    <w:rsid w:val="07DE77CB"/>
    <w:rsid w:val="07E121C2"/>
    <w:rsid w:val="07E47A29"/>
    <w:rsid w:val="07E62C3B"/>
    <w:rsid w:val="07EC790A"/>
    <w:rsid w:val="07F50292"/>
    <w:rsid w:val="07FE63E8"/>
    <w:rsid w:val="080264AE"/>
    <w:rsid w:val="080661E3"/>
    <w:rsid w:val="083D222A"/>
    <w:rsid w:val="083E7D1C"/>
    <w:rsid w:val="083F69AD"/>
    <w:rsid w:val="084B7ABB"/>
    <w:rsid w:val="08555405"/>
    <w:rsid w:val="08561FA2"/>
    <w:rsid w:val="08590F51"/>
    <w:rsid w:val="085C37E5"/>
    <w:rsid w:val="086334CF"/>
    <w:rsid w:val="08690BF0"/>
    <w:rsid w:val="0871466A"/>
    <w:rsid w:val="08750018"/>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34FC"/>
    <w:rsid w:val="08FC7AC7"/>
    <w:rsid w:val="08FE5C78"/>
    <w:rsid w:val="09021076"/>
    <w:rsid w:val="09065647"/>
    <w:rsid w:val="090968DC"/>
    <w:rsid w:val="0915066C"/>
    <w:rsid w:val="091959C4"/>
    <w:rsid w:val="092464BF"/>
    <w:rsid w:val="09330B6E"/>
    <w:rsid w:val="09392AF8"/>
    <w:rsid w:val="093E5899"/>
    <w:rsid w:val="094311F4"/>
    <w:rsid w:val="094F257F"/>
    <w:rsid w:val="09583843"/>
    <w:rsid w:val="09607DCD"/>
    <w:rsid w:val="096D227C"/>
    <w:rsid w:val="09712D2D"/>
    <w:rsid w:val="0980678C"/>
    <w:rsid w:val="098246C4"/>
    <w:rsid w:val="09A955D3"/>
    <w:rsid w:val="09AF1FDC"/>
    <w:rsid w:val="09B81315"/>
    <w:rsid w:val="09C068A5"/>
    <w:rsid w:val="09C1228B"/>
    <w:rsid w:val="09CA0AC6"/>
    <w:rsid w:val="09D50EC2"/>
    <w:rsid w:val="09F46281"/>
    <w:rsid w:val="09F546E9"/>
    <w:rsid w:val="09F7192D"/>
    <w:rsid w:val="09FD4DBD"/>
    <w:rsid w:val="0A090AAC"/>
    <w:rsid w:val="0A137A02"/>
    <w:rsid w:val="0A204B1C"/>
    <w:rsid w:val="0A243C94"/>
    <w:rsid w:val="0A2E5DB1"/>
    <w:rsid w:val="0A2F46DB"/>
    <w:rsid w:val="0A324A8A"/>
    <w:rsid w:val="0A337541"/>
    <w:rsid w:val="0A386426"/>
    <w:rsid w:val="0A4B0022"/>
    <w:rsid w:val="0A4D1D8A"/>
    <w:rsid w:val="0A4E1BB6"/>
    <w:rsid w:val="0A51312B"/>
    <w:rsid w:val="0A575370"/>
    <w:rsid w:val="0A5B4AEA"/>
    <w:rsid w:val="0A5C2E75"/>
    <w:rsid w:val="0A6277D4"/>
    <w:rsid w:val="0A6614C9"/>
    <w:rsid w:val="0A664AD3"/>
    <w:rsid w:val="0A6775FD"/>
    <w:rsid w:val="0A7232D3"/>
    <w:rsid w:val="0A773A3A"/>
    <w:rsid w:val="0A850E5A"/>
    <w:rsid w:val="0A97216E"/>
    <w:rsid w:val="0A9C11D4"/>
    <w:rsid w:val="0AA5549A"/>
    <w:rsid w:val="0AAE3C34"/>
    <w:rsid w:val="0AB57D41"/>
    <w:rsid w:val="0AB74037"/>
    <w:rsid w:val="0ABA0B10"/>
    <w:rsid w:val="0ABB64D4"/>
    <w:rsid w:val="0ABF5314"/>
    <w:rsid w:val="0AC34F4A"/>
    <w:rsid w:val="0AE003FA"/>
    <w:rsid w:val="0AE3696C"/>
    <w:rsid w:val="0AF957A7"/>
    <w:rsid w:val="0AF96902"/>
    <w:rsid w:val="0AFB4824"/>
    <w:rsid w:val="0B104C80"/>
    <w:rsid w:val="0B1537E9"/>
    <w:rsid w:val="0B1B0258"/>
    <w:rsid w:val="0B1D1E17"/>
    <w:rsid w:val="0B2F5449"/>
    <w:rsid w:val="0B3A6177"/>
    <w:rsid w:val="0B3E1E23"/>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CE5465"/>
    <w:rsid w:val="0BD9718B"/>
    <w:rsid w:val="0BE64BE6"/>
    <w:rsid w:val="0BEA1A76"/>
    <w:rsid w:val="0BEB698D"/>
    <w:rsid w:val="0BF23B14"/>
    <w:rsid w:val="0BF4523A"/>
    <w:rsid w:val="0BFD3E01"/>
    <w:rsid w:val="0C022CD6"/>
    <w:rsid w:val="0C0F2FEF"/>
    <w:rsid w:val="0C115C01"/>
    <w:rsid w:val="0C196207"/>
    <w:rsid w:val="0C20192A"/>
    <w:rsid w:val="0C21687B"/>
    <w:rsid w:val="0C221921"/>
    <w:rsid w:val="0C2B7B6C"/>
    <w:rsid w:val="0C2C3B9B"/>
    <w:rsid w:val="0C2E310B"/>
    <w:rsid w:val="0C35257F"/>
    <w:rsid w:val="0C3E5A3E"/>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0B70C6"/>
    <w:rsid w:val="0D1F6EAF"/>
    <w:rsid w:val="0D2C3BFA"/>
    <w:rsid w:val="0D3B246C"/>
    <w:rsid w:val="0D3C52DB"/>
    <w:rsid w:val="0D4618D1"/>
    <w:rsid w:val="0D470E01"/>
    <w:rsid w:val="0D5412D9"/>
    <w:rsid w:val="0D5639E7"/>
    <w:rsid w:val="0D563E1D"/>
    <w:rsid w:val="0D586FDE"/>
    <w:rsid w:val="0D5D28E6"/>
    <w:rsid w:val="0D5D3E94"/>
    <w:rsid w:val="0D651FC1"/>
    <w:rsid w:val="0D6D666D"/>
    <w:rsid w:val="0D6E7297"/>
    <w:rsid w:val="0D7545AF"/>
    <w:rsid w:val="0D781F4A"/>
    <w:rsid w:val="0D784EF3"/>
    <w:rsid w:val="0D823563"/>
    <w:rsid w:val="0D8C2318"/>
    <w:rsid w:val="0D916371"/>
    <w:rsid w:val="0D9F62EE"/>
    <w:rsid w:val="0DA858B9"/>
    <w:rsid w:val="0DB83232"/>
    <w:rsid w:val="0DBB3B85"/>
    <w:rsid w:val="0DBC5333"/>
    <w:rsid w:val="0DBE49F8"/>
    <w:rsid w:val="0DBF18EC"/>
    <w:rsid w:val="0DC96810"/>
    <w:rsid w:val="0DCC121C"/>
    <w:rsid w:val="0DCF5D35"/>
    <w:rsid w:val="0DD11D57"/>
    <w:rsid w:val="0DE7427C"/>
    <w:rsid w:val="0DED07C4"/>
    <w:rsid w:val="0DEE33D9"/>
    <w:rsid w:val="0DF1033C"/>
    <w:rsid w:val="0DFE5905"/>
    <w:rsid w:val="0E022856"/>
    <w:rsid w:val="0E0248BD"/>
    <w:rsid w:val="0E0B52D7"/>
    <w:rsid w:val="0E104D98"/>
    <w:rsid w:val="0E1369CD"/>
    <w:rsid w:val="0E28192B"/>
    <w:rsid w:val="0E2F597F"/>
    <w:rsid w:val="0E37108C"/>
    <w:rsid w:val="0E3B3740"/>
    <w:rsid w:val="0E3D68E7"/>
    <w:rsid w:val="0E4271B8"/>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E46AFC"/>
    <w:rsid w:val="0EF05D44"/>
    <w:rsid w:val="0EFD4C6D"/>
    <w:rsid w:val="0EFD6649"/>
    <w:rsid w:val="0EFF4DCA"/>
    <w:rsid w:val="0F024FD6"/>
    <w:rsid w:val="0F0869CE"/>
    <w:rsid w:val="0F0F0B31"/>
    <w:rsid w:val="0F0F0B4C"/>
    <w:rsid w:val="0F0F6DBD"/>
    <w:rsid w:val="0F1028FC"/>
    <w:rsid w:val="0F13714E"/>
    <w:rsid w:val="0F1B123C"/>
    <w:rsid w:val="0F1E1997"/>
    <w:rsid w:val="0F217358"/>
    <w:rsid w:val="0F2532AC"/>
    <w:rsid w:val="0F29705A"/>
    <w:rsid w:val="0F2D7AB0"/>
    <w:rsid w:val="0F3D7225"/>
    <w:rsid w:val="0F40726E"/>
    <w:rsid w:val="0F424B0D"/>
    <w:rsid w:val="0F4501A0"/>
    <w:rsid w:val="0F4A1CDE"/>
    <w:rsid w:val="0F4A7E65"/>
    <w:rsid w:val="0F557405"/>
    <w:rsid w:val="0F5626C1"/>
    <w:rsid w:val="0F63349B"/>
    <w:rsid w:val="0F634273"/>
    <w:rsid w:val="0F657649"/>
    <w:rsid w:val="0F6D575B"/>
    <w:rsid w:val="0F790B07"/>
    <w:rsid w:val="0F7F7301"/>
    <w:rsid w:val="0F806E95"/>
    <w:rsid w:val="0F847A92"/>
    <w:rsid w:val="0F99304D"/>
    <w:rsid w:val="0F9D3AE8"/>
    <w:rsid w:val="0FA351C5"/>
    <w:rsid w:val="0FAF376D"/>
    <w:rsid w:val="0FB52E3F"/>
    <w:rsid w:val="0FBF7F6A"/>
    <w:rsid w:val="0FCC249F"/>
    <w:rsid w:val="0FD8068E"/>
    <w:rsid w:val="0FD97329"/>
    <w:rsid w:val="0FDD3ABD"/>
    <w:rsid w:val="0FDD41C9"/>
    <w:rsid w:val="0FDE34CC"/>
    <w:rsid w:val="0FDF1003"/>
    <w:rsid w:val="0FF23DC6"/>
    <w:rsid w:val="0FFC2B88"/>
    <w:rsid w:val="0FFD42FF"/>
    <w:rsid w:val="101207DA"/>
    <w:rsid w:val="10144ACE"/>
    <w:rsid w:val="1019048E"/>
    <w:rsid w:val="10192E34"/>
    <w:rsid w:val="10220ACB"/>
    <w:rsid w:val="102F5819"/>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86329"/>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530C0C"/>
    <w:rsid w:val="115A6F27"/>
    <w:rsid w:val="1168209E"/>
    <w:rsid w:val="116C5EAE"/>
    <w:rsid w:val="116F5D3F"/>
    <w:rsid w:val="117E1607"/>
    <w:rsid w:val="117E24E8"/>
    <w:rsid w:val="1186675B"/>
    <w:rsid w:val="118D68C4"/>
    <w:rsid w:val="11941E54"/>
    <w:rsid w:val="11953B1A"/>
    <w:rsid w:val="11965A2F"/>
    <w:rsid w:val="11993508"/>
    <w:rsid w:val="11A52536"/>
    <w:rsid w:val="11B30D67"/>
    <w:rsid w:val="11CF6BAC"/>
    <w:rsid w:val="11DB1A57"/>
    <w:rsid w:val="11E65BE0"/>
    <w:rsid w:val="11F33AF7"/>
    <w:rsid w:val="120209EA"/>
    <w:rsid w:val="1208044F"/>
    <w:rsid w:val="120838DF"/>
    <w:rsid w:val="121264F9"/>
    <w:rsid w:val="12164442"/>
    <w:rsid w:val="121C61A9"/>
    <w:rsid w:val="121E625C"/>
    <w:rsid w:val="12205607"/>
    <w:rsid w:val="12214918"/>
    <w:rsid w:val="122350B5"/>
    <w:rsid w:val="12376C75"/>
    <w:rsid w:val="124C005C"/>
    <w:rsid w:val="124F0BED"/>
    <w:rsid w:val="125A2D78"/>
    <w:rsid w:val="125F75C5"/>
    <w:rsid w:val="12652ED4"/>
    <w:rsid w:val="127C42A0"/>
    <w:rsid w:val="127F297D"/>
    <w:rsid w:val="1281311E"/>
    <w:rsid w:val="129137BD"/>
    <w:rsid w:val="129E5216"/>
    <w:rsid w:val="12AB4AA1"/>
    <w:rsid w:val="12C22B12"/>
    <w:rsid w:val="12D86D99"/>
    <w:rsid w:val="12EC625A"/>
    <w:rsid w:val="12EF1DC3"/>
    <w:rsid w:val="12EF741A"/>
    <w:rsid w:val="12F254D0"/>
    <w:rsid w:val="12F3239A"/>
    <w:rsid w:val="12FB3D15"/>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97FDE"/>
    <w:rsid w:val="139D0995"/>
    <w:rsid w:val="13AE3872"/>
    <w:rsid w:val="13B567C3"/>
    <w:rsid w:val="13BB7F7B"/>
    <w:rsid w:val="13C82EA6"/>
    <w:rsid w:val="13D94098"/>
    <w:rsid w:val="13DD35D9"/>
    <w:rsid w:val="13ED1CD8"/>
    <w:rsid w:val="13F54FCF"/>
    <w:rsid w:val="13F86C6F"/>
    <w:rsid w:val="13FF2E83"/>
    <w:rsid w:val="14005403"/>
    <w:rsid w:val="140300D1"/>
    <w:rsid w:val="14180497"/>
    <w:rsid w:val="141C1A37"/>
    <w:rsid w:val="141C2EE7"/>
    <w:rsid w:val="142255E8"/>
    <w:rsid w:val="142B7721"/>
    <w:rsid w:val="142C38AD"/>
    <w:rsid w:val="14363D29"/>
    <w:rsid w:val="143678DB"/>
    <w:rsid w:val="14506187"/>
    <w:rsid w:val="145449A3"/>
    <w:rsid w:val="145C52F8"/>
    <w:rsid w:val="1474522A"/>
    <w:rsid w:val="14855B1C"/>
    <w:rsid w:val="148F7411"/>
    <w:rsid w:val="14A45533"/>
    <w:rsid w:val="14AD5F48"/>
    <w:rsid w:val="14AE35FC"/>
    <w:rsid w:val="14B74D7E"/>
    <w:rsid w:val="14B90961"/>
    <w:rsid w:val="14C1100B"/>
    <w:rsid w:val="14D601A3"/>
    <w:rsid w:val="14E35136"/>
    <w:rsid w:val="14E44113"/>
    <w:rsid w:val="14EA55B7"/>
    <w:rsid w:val="150E4907"/>
    <w:rsid w:val="151F751C"/>
    <w:rsid w:val="1523274F"/>
    <w:rsid w:val="153D235D"/>
    <w:rsid w:val="153D4BC9"/>
    <w:rsid w:val="154821B7"/>
    <w:rsid w:val="154A1648"/>
    <w:rsid w:val="154E25E9"/>
    <w:rsid w:val="155810A4"/>
    <w:rsid w:val="155C65AE"/>
    <w:rsid w:val="156670AB"/>
    <w:rsid w:val="15694850"/>
    <w:rsid w:val="156A61CE"/>
    <w:rsid w:val="156B3378"/>
    <w:rsid w:val="156F3E1F"/>
    <w:rsid w:val="156F44D4"/>
    <w:rsid w:val="15715B51"/>
    <w:rsid w:val="1574744F"/>
    <w:rsid w:val="15823994"/>
    <w:rsid w:val="159260CF"/>
    <w:rsid w:val="15947046"/>
    <w:rsid w:val="15951987"/>
    <w:rsid w:val="15A0619E"/>
    <w:rsid w:val="15B72752"/>
    <w:rsid w:val="15B80E69"/>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21999"/>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448E6"/>
    <w:rsid w:val="16CA1D2B"/>
    <w:rsid w:val="16DD0C31"/>
    <w:rsid w:val="16DF2B07"/>
    <w:rsid w:val="16E7282C"/>
    <w:rsid w:val="16F759AB"/>
    <w:rsid w:val="16FE3110"/>
    <w:rsid w:val="17026F10"/>
    <w:rsid w:val="170A3FAB"/>
    <w:rsid w:val="17275E00"/>
    <w:rsid w:val="173426EA"/>
    <w:rsid w:val="17380DC9"/>
    <w:rsid w:val="173E4C52"/>
    <w:rsid w:val="17432E41"/>
    <w:rsid w:val="17466E50"/>
    <w:rsid w:val="17482606"/>
    <w:rsid w:val="174B3A7D"/>
    <w:rsid w:val="175454DC"/>
    <w:rsid w:val="17636FAF"/>
    <w:rsid w:val="17702879"/>
    <w:rsid w:val="177761B3"/>
    <w:rsid w:val="178424FA"/>
    <w:rsid w:val="178D2C84"/>
    <w:rsid w:val="178D7F71"/>
    <w:rsid w:val="17930349"/>
    <w:rsid w:val="179E7495"/>
    <w:rsid w:val="17A026E1"/>
    <w:rsid w:val="17A21E1C"/>
    <w:rsid w:val="17AB2B97"/>
    <w:rsid w:val="17B851B2"/>
    <w:rsid w:val="17C30C5A"/>
    <w:rsid w:val="17C66C3A"/>
    <w:rsid w:val="17CC5ECE"/>
    <w:rsid w:val="17CE580D"/>
    <w:rsid w:val="17D83819"/>
    <w:rsid w:val="17DA3CCB"/>
    <w:rsid w:val="17F60521"/>
    <w:rsid w:val="17FC2C33"/>
    <w:rsid w:val="17FF4999"/>
    <w:rsid w:val="1800134D"/>
    <w:rsid w:val="18012955"/>
    <w:rsid w:val="180C023B"/>
    <w:rsid w:val="18170776"/>
    <w:rsid w:val="18226EE6"/>
    <w:rsid w:val="182B4F94"/>
    <w:rsid w:val="18366840"/>
    <w:rsid w:val="18372538"/>
    <w:rsid w:val="18392137"/>
    <w:rsid w:val="18455B6A"/>
    <w:rsid w:val="18474F16"/>
    <w:rsid w:val="18500692"/>
    <w:rsid w:val="18535C42"/>
    <w:rsid w:val="18640C92"/>
    <w:rsid w:val="18641C3D"/>
    <w:rsid w:val="1867487B"/>
    <w:rsid w:val="18695C89"/>
    <w:rsid w:val="18700C08"/>
    <w:rsid w:val="18710E28"/>
    <w:rsid w:val="18764199"/>
    <w:rsid w:val="18786E06"/>
    <w:rsid w:val="1885335D"/>
    <w:rsid w:val="18870497"/>
    <w:rsid w:val="188726D4"/>
    <w:rsid w:val="188F68D6"/>
    <w:rsid w:val="18906FE3"/>
    <w:rsid w:val="189B7E34"/>
    <w:rsid w:val="189C51CA"/>
    <w:rsid w:val="189C5A97"/>
    <w:rsid w:val="18A459CA"/>
    <w:rsid w:val="18A66233"/>
    <w:rsid w:val="18B22B5C"/>
    <w:rsid w:val="18B32649"/>
    <w:rsid w:val="18B84CB0"/>
    <w:rsid w:val="18C605BC"/>
    <w:rsid w:val="18D824B5"/>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5649F4"/>
    <w:rsid w:val="19684F1E"/>
    <w:rsid w:val="199F09F3"/>
    <w:rsid w:val="19B00ED9"/>
    <w:rsid w:val="19B56E5D"/>
    <w:rsid w:val="19B93C2B"/>
    <w:rsid w:val="19BD310F"/>
    <w:rsid w:val="19BF3F9E"/>
    <w:rsid w:val="19C97BA9"/>
    <w:rsid w:val="19CB397F"/>
    <w:rsid w:val="19CC53F0"/>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8B6ED6"/>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47D82"/>
    <w:rsid w:val="1B097FBA"/>
    <w:rsid w:val="1B2542E6"/>
    <w:rsid w:val="1B2929AB"/>
    <w:rsid w:val="1B2C3E91"/>
    <w:rsid w:val="1B47772F"/>
    <w:rsid w:val="1B50538E"/>
    <w:rsid w:val="1B5322E9"/>
    <w:rsid w:val="1B607248"/>
    <w:rsid w:val="1B612AFA"/>
    <w:rsid w:val="1B635F12"/>
    <w:rsid w:val="1B693EA3"/>
    <w:rsid w:val="1B6B1131"/>
    <w:rsid w:val="1B6C25E8"/>
    <w:rsid w:val="1B741476"/>
    <w:rsid w:val="1B793426"/>
    <w:rsid w:val="1B801536"/>
    <w:rsid w:val="1B8260BC"/>
    <w:rsid w:val="1B8A2061"/>
    <w:rsid w:val="1B8C3320"/>
    <w:rsid w:val="1B957FCF"/>
    <w:rsid w:val="1BAA2BCF"/>
    <w:rsid w:val="1BD90066"/>
    <w:rsid w:val="1BD925D2"/>
    <w:rsid w:val="1BFA0C60"/>
    <w:rsid w:val="1C076C7C"/>
    <w:rsid w:val="1C161A83"/>
    <w:rsid w:val="1C1C4D13"/>
    <w:rsid w:val="1C296C3D"/>
    <w:rsid w:val="1C325787"/>
    <w:rsid w:val="1C3A709B"/>
    <w:rsid w:val="1C3D1800"/>
    <w:rsid w:val="1C512779"/>
    <w:rsid w:val="1C5B2253"/>
    <w:rsid w:val="1C6575F7"/>
    <w:rsid w:val="1C712D2E"/>
    <w:rsid w:val="1C762823"/>
    <w:rsid w:val="1C7802BE"/>
    <w:rsid w:val="1C7F7184"/>
    <w:rsid w:val="1C804FFC"/>
    <w:rsid w:val="1C811EBE"/>
    <w:rsid w:val="1C8D3996"/>
    <w:rsid w:val="1C9C1BE4"/>
    <w:rsid w:val="1CA0266C"/>
    <w:rsid w:val="1CA36569"/>
    <w:rsid w:val="1CAA66FD"/>
    <w:rsid w:val="1CAD3858"/>
    <w:rsid w:val="1CAF18A4"/>
    <w:rsid w:val="1CBA342B"/>
    <w:rsid w:val="1CC04946"/>
    <w:rsid w:val="1CC400CD"/>
    <w:rsid w:val="1CC57789"/>
    <w:rsid w:val="1CCA7433"/>
    <w:rsid w:val="1CCE5780"/>
    <w:rsid w:val="1CCE78A2"/>
    <w:rsid w:val="1CD75D57"/>
    <w:rsid w:val="1CDC087A"/>
    <w:rsid w:val="1CE72540"/>
    <w:rsid w:val="1CE922E4"/>
    <w:rsid w:val="1CFB474C"/>
    <w:rsid w:val="1D052D81"/>
    <w:rsid w:val="1D110690"/>
    <w:rsid w:val="1D111ED4"/>
    <w:rsid w:val="1D1E5C67"/>
    <w:rsid w:val="1D2C43C8"/>
    <w:rsid w:val="1D317EAF"/>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BE49AC"/>
    <w:rsid w:val="1DC43BC4"/>
    <w:rsid w:val="1DCC34E5"/>
    <w:rsid w:val="1DCF2EDB"/>
    <w:rsid w:val="1DD41CD7"/>
    <w:rsid w:val="1DDC1709"/>
    <w:rsid w:val="1DDE47B5"/>
    <w:rsid w:val="1DE56A6A"/>
    <w:rsid w:val="1DE925CC"/>
    <w:rsid w:val="1DF61D54"/>
    <w:rsid w:val="1DFD1A78"/>
    <w:rsid w:val="1DFD5D66"/>
    <w:rsid w:val="1E0020BC"/>
    <w:rsid w:val="1E081852"/>
    <w:rsid w:val="1E0F6C5F"/>
    <w:rsid w:val="1E1C0F23"/>
    <w:rsid w:val="1E1D3350"/>
    <w:rsid w:val="1E2D3856"/>
    <w:rsid w:val="1E2E6394"/>
    <w:rsid w:val="1E3551D8"/>
    <w:rsid w:val="1E3C2C1F"/>
    <w:rsid w:val="1E493A73"/>
    <w:rsid w:val="1E4C7C99"/>
    <w:rsid w:val="1E6B2852"/>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11BFE"/>
    <w:rsid w:val="1F1E5DB2"/>
    <w:rsid w:val="1F293665"/>
    <w:rsid w:val="1F2D7AB7"/>
    <w:rsid w:val="1F31093A"/>
    <w:rsid w:val="1F3C203A"/>
    <w:rsid w:val="1F4154A3"/>
    <w:rsid w:val="1F495793"/>
    <w:rsid w:val="1F4F31D2"/>
    <w:rsid w:val="1F634DD9"/>
    <w:rsid w:val="1F794D1A"/>
    <w:rsid w:val="1F8B4035"/>
    <w:rsid w:val="1F8E5C30"/>
    <w:rsid w:val="1F8F3B44"/>
    <w:rsid w:val="1FA042BC"/>
    <w:rsid w:val="1FAD75BF"/>
    <w:rsid w:val="1FB468E3"/>
    <w:rsid w:val="1FB87C4A"/>
    <w:rsid w:val="1FDE1119"/>
    <w:rsid w:val="1FDE5CF0"/>
    <w:rsid w:val="1FE72BC6"/>
    <w:rsid w:val="1FF63782"/>
    <w:rsid w:val="20055D8E"/>
    <w:rsid w:val="2010595F"/>
    <w:rsid w:val="202D186D"/>
    <w:rsid w:val="20444A13"/>
    <w:rsid w:val="204A3E68"/>
    <w:rsid w:val="204E2B4B"/>
    <w:rsid w:val="204F627F"/>
    <w:rsid w:val="20577738"/>
    <w:rsid w:val="205B6F25"/>
    <w:rsid w:val="205E6316"/>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547AB"/>
    <w:rsid w:val="211E5843"/>
    <w:rsid w:val="212028A2"/>
    <w:rsid w:val="21236E7B"/>
    <w:rsid w:val="212D6E70"/>
    <w:rsid w:val="21325170"/>
    <w:rsid w:val="21383079"/>
    <w:rsid w:val="213C4E2F"/>
    <w:rsid w:val="213D0E8C"/>
    <w:rsid w:val="2140662B"/>
    <w:rsid w:val="2146277C"/>
    <w:rsid w:val="214B63F8"/>
    <w:rsid w:val="214C3CD5"/>
    <w:rsid w:val="215779C0"/>
    <w:rsid w:val="215A2AFE"/>
    <w:rsid w:val="215F458F"/>
    <w:rsid w:val="21711085"/>
    <w:rsid w:val="217228C9"/>
    <w:rsid w:val="218E0201"/>
    <w:rsid w:val="21926F6C"/>
    <w:rsid w:val="21936236"/>
    <w:rsid w:val="219B0652"/>
    <w:rsid w:val="219E589F"/>
    <w:rsid w:val="21A71340"/>
    <w:rsid w:val="21AE7BDE"/>
    <w:rsid w:val="21B13AA1"/>
    <w:rsid w:val="21B24080"/>
    <w:rsid w:val="21B739BF"/>
    <w:rsid w:val="21BF67E6"/>
    <w:rsid w:val="21C051BE"/>
    <w:rsid w:val="21C268DE"/>
    <w:rsid w:val="21C44697"/>
    <w:rsid w:val="21D061B3"/>
    <w:rsid w:val="21D24CF4"/>
    <w:rsid w:val="21DE47CF"/>
    <w:rsid w:val="21FA7C76"/>
    <w:rsid w:val="21FB378E"/>
    <w:rsid w:val="22086DD5"/>
    <w:rsid w:val="220B654F"/>
    <w:rsid w:val="220D602F"/>
    <w:rsid w:val="221122B7"/>
    <w:rsid w:val="221335D5"/>
    <w:rsid w:val="221803B8"/>
    <w:rsid w:val="223332AD"/>
    <w:rsid w:val="223F2906"/>
    <w:rsid w:val="22460F19"/>
    <w:rsid w:val="224F0CCB"/>
    <w:rsid w:val="226B58C3"/>
    <w:rsid w:val="226F2366"/>
    <w:rsid w:val="226F6FBE"/>
    <w:rsid w:val="227167CA"/>
    <w:rsid w:val="22727FD0"/>
    <w:rsid w:val="227B0B71"/>
    <w:rsid w:val="22805B8B"/>
    <w:rsid w:val="228135D1"/>
    <w:rsid w:val="2281465F"/>
    <w:rsid w:val="22886786"/>
    <w:rsid w:val="22941C5F"/>
    <w:rsid w:val="22A13519"/>
    <w:rsid w:val="22B23E9D"/>
    <w:rsid w:val="22C02AB0"/>
    <w:rsid w:val="22C54E5E"/>
    <w:rsid w:val="22C672D7"/>
    <w:rsid w:val="22C84261"/>
    <w:rsid w:val="22CA6D56"/>
    <w:rsid w:val="22CD373A"/>
    <w:rsid w:val="22CD57C2"/>
    <w:rsid w:val="22CE6C8E"/>
    <w:rsid w:val="22D12D01"/>
    <w:rsid w:val="22D45893"/>
    <w:rsid w:val="22EE45DF"/>
    <w:rsid w:val="22F27762"/>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93C6E"/>
    <w:rsid w:val="236E3562"/>
    <w:rsid w:val="23722CB0"/>
    <w:rsid w:val="237233EF"/>
    <w:rsid w:val="238C2CA1"/>
    <w:rsid w:val="238E7B6A"/>
    <w:rsid w:val="238F69CD"/>
    <w:rsid w:val="2397196E"/>
    <w:rsid w:val="239C2C5D"/>
    <w:rsid w:val="23AC7988"/>
    <w:rsid w:val="23B2329F"/>
    <w:rsid w:val="23C13227"/>
    <w:rsid w:val="23C30FC1"/>
    <w:rsid w:val="23CB1297"/>
    <w:rsid w:val="23CD6CFC"/>
    <w:rsid w:val="23CE6D8D"/>
    <w:rsid w:val="23CE7EFA"/>
    <w:rsid w:val="23D876C6"/>
    <w:rsid w:val="23DB66E2"/>
    <w:rsid w:val="23DD1DFA"/>
    <w:rsid w:val="23E65005"/>
    <w:rsid w:val="23EB5CB5"/>
    <w:rsid w:val="23F00831"/>
    <w:rsid w:val="23FF6960"/>
    <w:rsid w:val="24044AAD"/>
    <w:rsid w:val="242176A6"/>
    <w:rsid w:val="24244378"/>
    <w:rsid w:val="2429376D"/>
    <w:rsid w:val="243B73AD"/>
    <w:rsid w:val="24490420"/>
    <w:rsid w:val="244C76D3"/>
    <w:rsid w:val="245437FC"/>
    <w:rsid w:val="24585C21"/>
    <w:rsid w:val="245A673B"/>
    <w:rsid w:val="245D7497"/>
    <w:rsid w:val="24601C34"/>
    <w:rsid w:val="2473264B"/>
    <w:rsid w:val="248136F0"/>
    <w:rsid w:val="24915BAB"/>
    <w:rsid w:val="24992C3F"/>
    <w:rsid w:val="249C557D"/>
    <w:rsid w:val="249E445B"/>
    <w:rsid w:val="249F5284"/>
    <w:rsid w:val="249F57D9"/>
    <w:rsid w:val="24A16ECD"/>
    <w:rsid w:val="24A46A37"/>
    <w:rsid w:val="24A917C3"/>
    <w:rsid w:val="24AD5E47"/>
    <w:rsid w:val="24AF0F0C"/>
    <w:rsid w:val="24CE18C8"/>
    <w:rsid w:val="24DB7584"/>
    <w:rsid w:val="24DC690A"/>
    <w:rsid w:val="24DF68C8"/>
    <w:rsid w:val="24E113F5"/>
    <w:rsid w:val="24E70DDF"/>
    <w:rsid w:val="24FA6FEE"/>
    <w:rsid w:val="24FD0496"/>
    <w:rsid w:val="25005C72"/>
    <w:rsid w:val="25072CB6"/>
    <w:rsid w:val="250F3ABA"/>
    <w:rsid w:val="25150E4A"/>
    <w:rsid w:val="25214F60"/>
    <w:rsid w:val="252F2220"/>
    <w:rsid w:val="254816C3"/>
    <w:rsid w:val="254A0730"/>
    <w:rsid w:val="255F10C9"/>
    <w:rsid w:val="25603261"/>
    <w:rsid w:val="25621AE5"/>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5F541CB"/>
    <w:rsid w:val="25FD3EE1"/>
    <w:rsid w:val="26033C65"/>
    <w:rsid w:val="260715B5"/>
    <w:rsid w:val="26081BF8"/>
    <w:rsid w:val="260B6A7A"/>
    <w:rsid w:val="260C58C5"/>
    <w:rsid w:val="26103B59"/>
    <w:rsid w:val="261F28E2"/>
    <w:rsid w:val="26264554"/>
    <w:rsid w:val="263235F5"/>
    <w:rsid w:val="26333A29"/>
    <w:rsid w:val="2634286A"/>
    <w:rsid w:val="26351784"/>
    <w:rsid w:val="26392AAE"/>
    <w:rsid w:val="26421452"/>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AB4995"/>
    <w:rsid w:val="27B60AFD"/>
    <w:rsid w:val="27B914E9"/>
    <w:rsid w:val="27BA5A01"/>
    <w:rsid w:val="27C42D71"/>
    <w:rsid w:val="27C435E3"/>
    <w:rsid w:val="27C6664A"/>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46461"/>
    <w:rsid w:val="28377CB6"/>
    <w:rsid w:val="28420645"/>
    <w:rsid w:val="284566E9"/>
    <w:rsid w:val="284C4A2B"/>
    <w:rsid w:val="285577BE"/>
    <w:rsid w:val="285C5977"/>
    <w:rsid w:val="28722B16"/>
    <w:rsid w:val="287954D2"/>
    <w:rsid w:val="287E15AA"/>
    <w:rsid w:val="288D4F6F"/>
    <w:rsid w:val="289C0555"/>
    <w:rsid w:val="28AD4406"/>
    <w:rsid w:val="28BB2CA0"/>
    <w:rsid w:val="28BC2993"/>
    <w:rsid w:val="28BD3A65"/>
    <w:rsid w:val="28C36B12"/>
    <w:rsid w:val="28C6288E"/>
    <w:rsid w:val="28CB7B04"/>
    <w:rsid w:val="28CC10A4"/>
    <w:rsid w:val="28D34355"/>
    <w:rsid w:val="28D61C74"/>
    <w:rsid w:val="28E2106E"/>
    <w:rsid w:val="28E95483"/>
    <w:rsid w:val="28EB4FE6"/>
    <w:rsid w:val="28EE4F7F"/>
    <w:rsid w:val="28F257BC"/>
    <w:rsid w:val="28F50C58"/>
    <w:rsid w:val="28F62E85"/>
    <w:rsid w:val="28FA532D"/>
    <w:rsid w:val="28FA7BD2"/>
    <w:rsid w:val="290441D9"/>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A8345E"/>
    <w:rsid w:val="29AD4F53"/>
    <w:rsid w:val="29BD1A42"/>
    <w:rsid w:val="29BF490D"/>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B734B"/>
    <w:rsid w:val="2A5E6472"/>
    <w:rsid w:val="2A5F478B"/>
    <w:rsid w:val="2A6162EF"/>
    <w:rsid w:val="2A660CEE"/>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8948BD"/>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D4450"/>
    <w:rsid w:val="2AFE3B79"/>
    <w:rsid w:val="2B03259E"/>
    <w:rsid w:val="2B034049"/>
    <w:rsid w:val="2B056B48"/>
    <w:rsid w:val="2B155F4A"/>
    <w:rsid w:val="2B181DBF"/>
    <w:rsid w:val="2B1A0D71"/>
    <w:rsid w:val="2B2318FD"/>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9454B1"/>
    <w:rsid w:val="2BA25574"/>
    <w:rsid w:val="2BA323A5"/>
    <w:rsid w:val="2BA40613"/>
    <w:rsid w:val="2BA568A1"/>
    <w:rsid w:val="2BA86189"/>
    <w:rsid w:val="2BAE7AC1"/>
    <w:rsid w:val="2BB36041"/>
    <w:rsid w:val="2BB6470A"/>
    <w:rsid w:val="2BBF1E23"/>
    <w:rsid w:val="2BDB5364"/>
    <w:rsid w:val="2BEF171D"/>
    <w:rsid w:val="2BFE1E7E"/>
    <w:rsid w:val="2BFF34F5"/>
    <w:rsid w:val="2C013F39"/>
    <w:rsid w:val="2C0B1078"/>
    <w:rsid w:val="2C1018B8"/>
    <w:rsid w:val="2C232156"/>
    <w:rsid w:val="2C2471E8"/>
    <w:rsid w:val="2C253560"/>
    <w:rsid w:val="2C295909"/>
    <w:rsid w:val="2C334998"/>
    <w:rsid w:val="2C35122A"/>
    <w:rsid w:val="2C364299"/>
    <w:rsid w:val="2C486C9F"/>
    <w:rsid w:val="2C5437C3"/>
    <w:rsid w:val="2C5446E8"/>
    <w:rsid w:val="2C594D81"/>
    <w:rsid w:val="2C5C42D2"/>
    <w:rsid w:val="2C5E7E3E"/>
    <w:rsid w:val="2C620297"/>
    <w:rsid w:val="2C641512"/>
    <w:rsid w:val="2C6E5DD6"/>
    <w:rsid w:val="2C73035A"/>
    <w:rsid w:val="2C7E4A99"/>
    <w:rsid w:val="2C7E5F6C"/>
    <w:rsid w:val="2C831780"/>
    <w:rsid w:val="2C877559"/>
    <w:rsid w:val="2C9121B3"/>
    <w:rsid w:val="2C9C7397"/>
    <w:rsid w:val="2CA02C0D"/>
    <w:rsid w:val="2CA62C22"/>
    <w:rsid w:val="2CB141FE"/>
    <w:rsid w:val="2CB14D25"/>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2E18DB"/>
    <w:rsid w:val="2D381B6C"/>
    <w:rsid w:val="2D3A36E0"/>
    <w:rsid w:val="2D3D59F8"/>
    <w:rsid w:val="2D411DE4"/>
    <w:rsid w:val="2D447CCF"/>
    <w:rsid w:val="2D4C0921"/>
    <w:rsid w:val="2D4D14E6"/>
    <w:rsid w:val="2D4E4D0B"/>
    <w:rsid w:val="2D5145BB"/>
    <w:rsid w:val="2D7322FD"/>
    <w:rsid w:val="2D7406B9"/>
    <w:rsid w:val="2D7E5AB6"/>
    <w:rsid w:val="2D881BC0"/>
    <w:rsid w:val="2D8E2EA1"/>
    <w:rsid w:val="2D8F27DB"/>
    <w:rsid w:val="2D927047"/>
    <w:rsid w:val="2D966719"/>
    <w:rsid w:val="2D97240F"/>
    <w:rsid w:val="2D9C0C2E"/>
    <w:rsid w:val="2D9E7AAD"/>
    <w:rsid w:val="2DA10413"/>
    <w:rsid w:val="2DA34768"/>
    <w:rsid w:val="2DAA2805"/>
    <w:rsid w:val="2DB46007"/>
    <w:rsid w:val="2DC6113C"/>
    <w:rsid w:val="2DC92410"/>
    <w:rsid w:val="2DCB4BB9"/>
    <w:rsid w:val="2DCE7635"/>
    <w:rsid w:val="2DD70417"/>
    <w:rsid w:val="2DDB0F96"/>
    <w:rsid w:val="2DE35418"/>
    <w:rsid w:val="2E035274"/>
    <w:rsid w:val="2E064941"/>
    <w:rsid w:val="2E0D4E92"/>
    <w:rsid w:val="2E101687"/>
    <w:rsid w:val="2E125435"/>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AE500C"/>
    <w:rsid w:val="2EB11C1F"/>
    <w:rsid w:val="2EB86D2A"/>
    <w:rsid w:val="2EC81F77"/>
    <w:rsid w:val="2EDF3CED"/>
    <w:rsid w:val="2EEB2C6B"/>
    <w:rsid w:val="2EF9378F"/>
    <w:rsid w:val="2F102D49"/>
    <w:rsid w:val="2F1544E7"/>
    <w:rsid w:val="2F1A178D"/>
    <w:rsid w:val="2F223112"/>
    <w:rsid w:val="2F2832E3"/>
    <w:rsid w:val="2F2A028B"/>
    <w:rsid w:val="2F2E4CD3"/>
    <w:rsid w:val="2F3502A1"/>
    <w:rsid w:val="2F3C1119"/>
    <w:rsid w:val="2F3F322C"/>
    <w:rsid w:val="2F4361BA"/>
    <w:rsid w:val="2F4773C1"/>
    <w:rsid w:val="2F4D7FE8"/>
    <w:rsid w:val="2F570BF8"/>
    <w:rsid w:val="2F601512"/>
    <w:rsid w:val="2F644678"/>
    <w:rsid w:val="2F645E81"/>
    <w:rsid w:val="2F6A3BE3"/>
    <w:rsid w:val="2F734078"/>
    <w:rsid w:val="2F7D414C"/>
    <w:rsid w:val="2F820752"/>
    <w:rsid w:val="2F8412FC"/>
    <w:rsid w:val="2F843CF0"/>
    <w:rsid w:val="2F8612D3"/>
    <w:rsid w:val="2F875D7B"/>
    <w:rsid w:val="2F8E5104"/>
    <w:rsid w:val="2F9251E4"/>
    <w:rsid w:val="2FA557A7"/>
    <w:rsid w:val="2FBD3859"/>
    <w:rsid w:val="2FC40827"/>
    <w:rsid w:val="2FC52567"/>
    <w:rsid w:val="2FCC6278"/>
    <w:rsid w:val="2FD3373E"/>
    <w:rsid w:val="2FE73242"/>
    <w:rsid w:val="2FEB512F"/>
    <w:rsid w:val="2FF06294"/>
    <w:rsid w:val="2FF13DD5"/>
    <w:rsid w:val="2FF66C8B"/>
    <w:rsid w:val="2FF9135A"/>
    <w:rsid w:val="300F6B5F"/>
    <w:rsid w:val="30121DB6"/>
    <w:rsid w:val="30194267"/>
    <w:rsid w:val="301D0232"/>
    <w:rsid w:val="30257298"/>
    <w:rsid w:val="30265DB3"/>
    <w:rsid w:val="30281E1B"/>
    <w:rsid w:val="303D2A1B"/>
    <w:rsid w:val="303E008C"/>
    <w:rsid w:val="303E2FFE"/>
    <w:rsid w:val="30423C79"/>
    <w:rsid w:val="306205C4"/>
    <w:rsid w:val="30657AE9"/>
    <w:rsid w:val="306772F9"/>
    <w:rsid w:val="306A5BA8"/>
    <w:rsid w:val="307A4007"/>
    <w:rsid w:val="30856D7B"/>
    <w:rsid w:val="308A183B"/>
    <w:rsid w:val="308E5FDF"/>
    <w:rsid w:val="30926D0D"/>
    <w:rsid w:val="309C6DDB"/>
    <w:rsid w:val="309E3F80"/>
    <w:rsid w:val="30A76E60"/>
    <w:rsid w:val="30B31F9C"/>
    <w:rsid w:val="30B456E9"/>
    <w:rsid w:val="30B5287E"/>
    <w:rsid w:val="30BC215E"/>
    <w:rsid w:val="30BE0B68"/>
    <w:rsid w:val="30F25E93"/>
    <w:rsid w:val="30F578C5"/>
    <w:rsid w:val="30F86718"/>
    <w:rsid w:val="31000234"/>
    <w:rsid w:val="31165C0D"/>
    <w:rsid w:val="31182199"/>
    <w:rsid w:val="31302D16"/>
    <w:rsid w:val="31375B9A"/>
    <w:rsid w:val="31392A46"/>
    <w:rsid w:val="313A0546"/>
    <w:rsid w:val="31470314"/>
    <w:rsid w:val="314C2760"/>
    <w:rsid w:val="316244B7"/>
    <w:rsid w:val="316F1595"/>
    <w:rsid w:val="31854918"/>
    <w:rsid w:val="31895B80"/>
    <w:rsid w:val="31946A47"/>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A674B"/>
    <w:rsid w:val="320E75A5"/>
    <w:rsid w:val="32186538"/>
    <w:rsid w:val="3221030E"/>
    <w:rsid w:val="32267A64"/>
    <w:rsid w:val="32301C76"/>
    <w:rsid w:val="3237702B"/>
    <w:rsid w:val="32384218"/>
    <w:rsid w:val="324043DE"/>
    <w:rsid w:val="324178A4"/>
    <w:rsid w:val="32450245"/>
    <w:rsid w:val="32494549"/>
    <w:rsid w:val="32545FC5"/>
    <w:rsid w:val="325C2D76"/>
    <w:rsid w:val="326507A6"/>
    <w:rsid w:val="32657B0E"/>
    <w:rsid w:val="326719A9"/>
    <w:rsid w:val="326F13CB"/>
    <w:rsid w:val="326F5570"/>
    <w:rsid w:val="328B4355"/>
    <w:rsid w:val="32941EA4"/>
    <w:rsid w:val="32A17E90"/>
    <w:rsid w:val="32B366CE"/>
    <w:rsid w:val="32BB3603"/>
    <w:rsid w:val="32BE6424"/>
    <w:rsid w:val="32BF74CC"/>
    <w:rsid w:val="32C246E2"/>
    <w:rsid w:val="32C31C14"/>
    <w:rsid w:val="32C753E9"/>
    <w:rsid w:val="32CD393F"/>
    <w:rsid w:val="32CE76E8"/>
    <w:rsid w:val="32CF3752"/>
    <w:rsid w:val="32DD7534"/>
    <w:rsid w:val="32F64C2C"/>
    <w:rsid w:val="32FD0FA8"/>
    <w:rsid w:val="33022768"/>
    <w:rsid w:val="331401DC"/>
    <w:rsid w:val="3315683C"/>
    <w:rsid w:val="331B6EDE"/>
    <w:rsid w:val="33313D66"/>
    <w:rsid w:val="33352864"/>
    <w:rsid w:val="33385346"/>
    <w:rsid w:val="33397206"/>
    <w:rsid w:val="33451D77"/>
    <w:rsid w:val="33516568"/>
    <w:rsid w:val="33530865"/>
    <w:rsid w:val="335324A7"/>
    <w:rsid w:val="33547F1F"/>
    <w:rsid w:val="337169E0"/>
    <w:rsid w:val="33796778"/>
    <w:rsid w:val="337F01D0"/>
    <w:rsid w:val="338446D8"/>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07514"/>
    <w:rsid w:val="34366609"/>
    <w:rsid w:val="343B5BC5"/>
    <w:rsid w:val="3441049C"/>
    <w:rsid w:val="34470C06"/>
    <w:rsid w:val="345D1DC0"/>
    <w:rsid w:val="345E2E34"/>
    <w:rsid w:val="346856A8"/>
    <w:rsid w:val="346B074E"/>
    <w:rsid w:val="34700B52"/>
    <w:rsid w:val="347C5431"/>
    <w:rsid w:val="347E76AC"/>
    <w:rsid w:val="34802039"/>
    <w:rsid w:val="34952676"/>
    <w:rsid w:val="349537D0"/>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0B33F4"/>
    <w:rsid w:val="35151E73"/>
    <w:rsid w:val="351B5AFA"/>
    <w:rsid w:val="351D7160"/>
    <w:rsid w:val="351E408A"/>
    <w:rsid w:val="35303ACB"/>
    <w:rsid w:val="35436A96"/>
    <w:rsid w:val="3544100D"/>
    <w:rsid w:val="354F75D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51C04"/>
    <w:rsid w:val="36BC1010"/>
    <w:rsid w:val="36C20A33"/>
    <w:rsid w:val="36CD1928"/>
    <w:rsid w:val="36DD19D5"/>
    <w:rsid w:val="36DF0DCF"/>
    <w:rsid w:val="36E71C00"/>
    <w:rsid w:val="36E80F78"/>
    <w:rsid w:val="36E86D31"/>
    <w:rsid w:val="36EE2CBB"/>
    <w:rsid w:val="36F75F3F"/>
    <w:rsid w:val="37206A20"/>
    <w:rsid w:val="372A7F5B"/>
    <w:rsid w:val="372C5FF1"/>
    <w:rsid w:val="372D0DBF"/>
    <w:rsid w:val="372F1B40"/>
    <w:rsid w:val="372F3FF9"/>
    <w:rsid w:val="373129EF"/>
    <w:rsid w:val="373621A3"/>
    <w:rsid w:val="373A3D76"/>
    <w:rsid w:val="374B3050"/>
    <w:rsid w:val="37512B30"/>
    <w:rsid w:val="3754377B"/>
    <w:rsid w:val="3764396F"/>
    <w:rsid w:val="376755B7"/>
    <w:rsid w:val="376D73D3"/>
    <w:rsid w:val="37757E6F"/>
    <w:rsid w:val="377E113A"/>
    <w:rsid w:val="37873DC6"/>
    <w:rsid w:val="378B06CC"/>
    <w:rsid w:val="378C5DE8"/>
    <w:rsid w:val="379A365A"/>
    <w:rsid w:val="37A81832"/>
    <w:rsid w:val="37AD0E97"/>
    <w:rsid w:val="37B3284E"/>
    <w:rsid w:val="37B56FC7"/>
    <w:rsid w:val="37B93020"/>
    <w:rsid w:val="37C75A14"/>
    <w:rsid w:val="37D51DFC"/>
    <w:rsid w:val="37E331C8"/>
    <w:rsid w:val="37FD7147"/>
    <w:rsid w:val="380F45AD"/>
    <w:rsid w:val="38221F5D"/>
    <w:rsid w:val="383579C1"/>
    <w:rsid w:val="38365636"/>
    <w:rsid w:val="3838242E"/>
    <w:rsid w:val="383A26CD"/>
    <w:rsid w:val="3842298F"/>
    <w:rsid w:val="384934A4"/>
    <w:rsid w:val="38562637"/>
    <w:rsid w:val="3858063B"/>
    <w:rsid w:val="385A06DD"/>
    <w:rsid w:val="385D34C1"/>
    <w:rsid w:val="386052AA"/>
    <w:rsid w:val="38630B60"/>
    <w:rsid w:val="386B0ED9"/>
    <w:rsid w:val="387409B9"/>
    <w:rsid w:val="387D29BE"/>
    <w:rsid w:val="38837E13"/>
    <w:rsid w:val="38862BA8"/>
    <w:rsid w:val="388C5F8D"/>
    <w:rsid w:val="38945C70"/>
    <w:rsid w:val="3894625F"/>
    <w:rsid w:val="38A05A0D"/>
    <w:rsid w:val="38A34698"/>
    <w:rsid w:val="38A968C8"/>
    <w:rsid w:val="38AB19DA"/>
    <w:rsid w:val="38B603BB"/>
    <w:rsid w:val="38B96453"/>
    <w:rsid w:val="38C13455"/>
    <w:rsid w:val="38C37207"/>
    <w:rsid w:val="38D25A92"/>
    <w:rsid w:val="38D27E22"/>
    <w:rsid w:val="38F05821"/>
    <w:rsid w:val="38F65986"/>
    <w:rsid w:val="39037914"/>
    <w:rsid w:val="390A3D17"/>
    <w:rsid w:val="39193BBB"/>
    <w:rsid w:val="39197EF7"/>
    <w:rsid w:val="39267A2B"/>
    <w:rsid w:val="393B6A45"/>
    <w:rsid w:val="393C457C"/>
    <w:rsid w:val="393D2C48"/>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B55A2"/>
    <w:rsid w:val="3B0F1B0C"/>
    <w:rsid w:val="3B115E95"/>
    <w:rsid w:val="3B16341F"/>
    <w:rsid w:val="3B247D05"/>
    <w:rsid w:val="3B2D7969"/>
    <w:rsid w:val="3B3A5239"/>
    <w:rsid w:val="3B472810"/>
    <w:rsid w:val="3B4E2D26"/>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00B1"/>
    <w:rsid w:val="3C2B5922"/>
    <w:rsid w:val="3C302B64"/>
    <w:rsid w:val="3C34695A"/>
    <w:rsid w:val="3C351CCD"/>
    <w:rsid w:val="3C3B72F7"/>
    <w:rsid w:val="3C4D5202"/>
    <w:rsid w:val="3C536F45"/>
    <w:rsid w:val="3C5C73CF"/>
    <w:rsid w:val="3C5D698E"/>
    <w:rsid w:val="3C6A79D5"/>
    <w:rsid w:val="3C7617CA"/>
    <w:rsid w:val="3C7B53C9"/>
    <w:rsid w:val="3C881DE6"/>
    <w:rsid w:val="3C8B668C"/>
    <w:rsid w:val="3C9842F0"/>
    <w:rsid w:val="3C9A3ED3"/>
    <w:rsid w:val="3C9D0189"/>
    <w:rsid w:val="3CA33452"/>
    <w:rsid w:val="3CB41F23"/>
    <w:rsid w:val="3CBB3335"/>
    <w:rsid w:val="3CC21E8B"/>
    <w:rsid w:val="3CC258D5"/>
    <w:rsid w:val="3CD30C12"/>
    <w:rsid w:val="3CDB69FF"/>
    <w:rsid w:val="3CDC1F42"/>
    <w:rsid w:val="3CEA4811"/>
    <w:rsid w:val="3CF11106"/>
    <w:rsid w:val="3CF1460B"/>
    <w:rsid w:val="3CFE7137"/>
    <w:rsid w:val="3CFF5FCC"/>
    <w:rsid w:val="3D113DEE"/>
    <w:rsid w:val="3D171F47"/>
    <w:rsid w:val="3D1A706D"/>
    <w:rsid w:val="3D1E69C8"/>
    <w:rsid w:val="3D216871"/>
    <w:rsid w:val="3D244471"/>
    <w:rsid w:val="3D3B1B30"/>
    <w:rsid w:val="3D4C08A0"/>
    <w:rsid w:val="3D4D4F31"/>
    <w:rsid w:val="3D4D6E20"/>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E0312"/>
    <w:rsid w:val="3DCF4766"/>
    <w:rsid w:val="3DD03022"/>
    <w:rsid w:val="3DE5229E"/>
    <w:rsid w:val="3DEB027D"/>
    <w:rsid w:val="3DFA5AD0"/>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6482F"/>
    <w:rsid w:val="3E7726C8"/>
    <w:rsid w:val="3E833861"/>
    <w:rsid w:val="3E880CDE"/>
    <w:rsid w:val="3E9902BD"/>
    <w:rsid w:val="3EAB68CC"/>
    <w:rsid w:val="3EB45BDF"/>
    <w:rsid w:val="3EB80426"/>
    <w:rsid w:val="3EC075F2"/>
    <w:rsid w:val="3EC07E82"/>
    <w:rsid w:val="3EC61005"/>
    <w:rsid w:val="3EC64136"/>
    <w:rsid w:val="3ECC6C03"/>
    <w:rsid w:val="3ED037EE"/>
    <w:rsid w:val="3EDC278B"/>
    <w:rsid w:val="3EE16478"/>
    <w:rsid w:val="3EF0668A"/>
    <w:rsid w:val="3EF2130E"/>
    <w:rsid w:val="3F00564E"/>
    <w:rsid w:val="3F0E4AA7"/>
    <w:rsid w:val="3F166DE5"/>
    <w:rsid w:val="3F1744A9"/>
    <w:rsid w:val="3F193BE6"/>
    <w:rsid w:val="3F1D1FCC"/>
    <w:rsid w:val="3F23345D"/>
    <w:rsid w:val="3F2700BE"/>
    <w:rsid w:val="3F322E39"/>
    <w:rsid w:val="3F3365BB"/>
    <w:rsid w:val="3F3A48AA"/>
    <w:rsid w:val="3F3C59F7"/>
    <w:rsid w:val="3F426AC3"/>
    <w:rsid w:val="3F444F2D"/>
    <w:rsid w:val="3F484CFB"/>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066FE"/>
    <w:rsid w:val="3FD86B47"/>
    <w:rsid w:val="3FE31D82"/>
    <w:rsid w:val="3FEB27F3"/>
    <w:rsid w:val="3FEE7226"/>
    <w:rsid w:val="3FF60A01"/>
    <w:rsid w:val="400C2C3F"/>
    <w:rsid w:val="40104B97"/>
    <w:rsid w:val="40123B43"/>
    <w:rsid w:val="40151C80"/>
    <w:rsid w:val="40163B47"/>
    <w:rsid w:val="401A4816"/>
    <w:rsid w:val="404224B6"/>
    <w:rsid w:val="40432906"/>
    <w:rsid w:val="40433886"/>
    <w:rsid w:val="40516742"/>
    <w:rsid w:val="40573B87"/>
    <w:rsid w:val="405B60B6"/>
    <w:rsid w:val="40633FD6"/>
    <w:rsid w:val="40635F1A"/>
    <w:rsid w:val="406903C7"/>
    <w:rsid w:val="406930A8"/>
    <w:rsid w:val="406F59D7"/>
    <w:rsid w:val="40786C8E"/>
    <w:rsid w:val="40805B94"/>
    <w:rsid w:val="40813DBE"/>
    <w:rsid w:val="40830B74"/>
    <w:rsid w:val="40AA54F1"/>
    <w:rsid w:val="40BA2742"/>
    <w:rsid w:val="40C032DF"/>
    <w:rsid w:val="40CC1C7A"/>
    <w:rsid w:val="40D145D9"/>
    <w:rsid w:val="40DA6699"/>
    <w:rsid w:val="40E81F30"/>
    <w:rsid w:val="40F8335B"/>
    <w:rsid w:val="41021214"/>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51DCF"/>
    <w:rsid w:val="418F3709"/>
    <w:rsid w:val="419E41FD"/>
    <w:rsid w:val="41A6561A"/>
    <w:rsid w:val="41A72A85"/>
    <w:rsid w:val="41AD068C"/>
    <w:rsid w:val="41B37936"/>
    <w:rsid w:val="41BC51E7"/>
    <w:rsid w:val="41BD778A"/>
    <w:rsid w:val="41C1720A"/>
    <w:rsid w:val="41C807B8"/>
    <w:rsid w:val="41D35005"/>
    <w:rsid w:val="41DA7F1B"/>
    <w:rsid w:val="41E310E9"/>
    <w:rsid w:val="41E35AA4"/>
    <w:rsid w:val="41EC244C"/>
    <w:rsid w:val="42115916"/>
    <w:rsid w:val="421965C1"/>
    <w:rsid w:val="4222777A"/>
    <w:rsid w:val="42282E32"/>
    <w:rsid w:val="422C0B6F"/>
    <w:rsid w:val="424576B0"/>
    <w:rsid w:val="424F7E66"/>
    <w:rsid w:val="4279133E"/>
    <w:rsid w:val="427B56B5"/>
    <w:rsid w:val="42850BB4"/>
    <w:rsid w:val="429F4867"/>
    <w:rsid w:val="42A31ABC"/>
    <w:rsid w:val="42B61283"/>
    <w:rsid w:val="42B876D7"/>
    <w:rsid w:val="42C12743"/>
    <w:rsid w:val="42C37F87"/>
    <w:rsid w:val="42C41CFF"/>
    <w:rsid w:val="42DC7FA5"/>
    <w:rsid w:val="42DE73EB"/>
    <w:rsid w:val="42EA5D21"/>
    <w:rsid w:val="42F55E0F"/>
    <w:rsid w:val="42F71C92"/>
    <w:rsid w:val="42F8391A"/>
    <w:rsid w:val="43002024"/>
    <w:rsid w:val="43041422"/>
    <w:rsid w:val="430B71E6"/>
    <w:rsid w:val="430F5CB6"/>
    <w:rsid w:val="4313140F"/>
    <w:rsid w:val="431F3B2A"/>
    <w:rsid w:val="4328234D"/>
    <w:rsid w:val="4328318E"/>
    <w:rsid w:val="43326A7C"/>
    <w:rsid w:val="4337362E"/>
    <w:rsid w:val="43377A41"/>
    <w:rsid w:val="433C0AD9"/>
    <w:rsid w:val="43474516"/>
    <w:rsid w:val="435C2DD4"/>
    <w:rsid w:val="43606EE8"/>
    <w:rsid w:val="436D6C7E"/>
    <w:rsid w:val="43741116"/>
    <w:rsid w:val="43825E8E"/>
    <w:rsid w:val="438C60C3"/>
    <w:rsid w:val="438D3A8B"/>
    <w:rsid w:val="43B67D40"/>
    <w:rsid w:val="43C90ABC"/>
    <w:rsid w:val="43CE29DA"/>
    <w:rsid w:val="43D60F59"/>
    <w:rsid w:val="43D6358D"/>
    <w:rsid w:val="43E61AF4"/>
    <w:rsid w:val="43EA6FF8"/>
    <w:rsid w:val="43EC7960"/>
    <w:rsid w:val="43FA1F0F"/>
    <w:rsid w:val="440313A1"/>
    <w:rsid w:val="44083C52"/>
    <w:rsid w:val="440B5E9D"/>
    <w:rsid w:val="44103072"/>
    <w:rsid w:val="44142FAF"/>
    <w:rsid w:val="44154F1C"/>
    <w:rsid w:val="44160887"/>
    <w:rsid w:val="44162DF9"/>
    <w:rsid w:val="441B1DA2"/>
    <w:rsid w:val="441C02A4"/>
    <w:rsid w:val="441D0E5B"/>
    <w:rsid w:val="44227EEF"/>
    <w:rsid w:val="44290F04"/>
    <w:rsid w:val="442F62DC"/>
    <w:rsid w:val="44387B6B"/>
    <w:rsid w:val="44396033"/>
    <w:rsid w:val="443F24A6"/>
    <w:rsid w:val="444168F4"/>
    <w:rsid w:val="4445371E"/>
    <w:rsid w:val="444F4CC5"/>
    <w:rsid w:val="446F063A"/>
    <w:rsid w:val="44723E90"/>
    <w:rsid w:val="447F2079"/>
    <w:rsid w:val="44905E4F"/>
    <w:rsid w:val="449307DD"/>
    <w:rsid w:val="449924D3"/>
    <w:rsid w:val="449C324D"/>
    <w:rsid w:val="44AE2C64"/>
    <w:rsid w:val="44AF364E"/>
    <w:rsid w:val="44B25954"/>
    <w:rsid w:val="44B26059"/>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432FE7"/>
    <w:rsid w:val="454F2985"/>
    <w:rsid w:val="455C4C80"/>
    <w:rsid w:val="455D4229"/>
    <w:rsid w:val="45617F43"/>
    <w:rsid w:val="45675C27"/>
    <w:rsid w:val="4572498F"/>
    <w:rsid w:val="458469DB"/>
    <w:rsid w:val="45863114"/>
    <w:rsid w:val="45871207"/>
    <w:rsid w:val="458A03D0"/>
    <w:rsid w:val="458B2169"/>
    <w:rsid w:val="459D3251"/>
    <w:rsid w:val="45A1725C"/>
    <w:rsid w:val="45A34A00"/>
    <w:rsid w:val="45B33A3B"/>
    <w:rsid w:val="45C20D69"/>
    <w:rsid w:val="45D077D4"/>
    <w:rsid w:val="45D65BEE"/>
    <w:rsid w:val="45DE6754"/>
    <w:rsid w:val="45EF1E60"/>
    <w:rsid w:val="45F65F21"/>
    <w:rsid w:val="45F877F1"/>
    <w:rsid w:val="45FB24C0"/>
    <w:rsid w:val="46043836"/>
    <w:rsid w:val="46163A58"/>
    <w:rsid w:val="4616630D"/>
    <w:rsid w:val="461C30A3"/>
    <w:rsid w:val="461F2208"/>
    <w:rsid w:val="462253D7"/>
    <w:rsid w:val="462312F7"/>
    <w:rsid w:val="463416CE"/>
    <w:rsid w:val="46370D5C"/>
    <w:rsid w:val="4638223A"/>
    <w:rsid w:val="4641025F"/>
    <w:rsid w:val="464B7611"/>
    <w:rsid w:val="46555121"/>
    <w:rsid w:val="46570A5C"/>
    <w:rsid w:val="4660177E"/>
    <w:rsid w:val="466E0F0B"/>
    <w:rsid w:val="4673382E"/>
    <w:rsid w:val="46741DB8"/>
    <w:rsid w:val="4675674D"/>
    <w:rsid w:val="4677581E"/>
    <w:rsid w:val="468248D2"/>
    <w:rsid w:val="46897790"/>
    <w:rsid w:val="468D1FB1"/>
    <w:rsid w:val="468F312C"/>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C507F1"/>
    <w:rsid w:val="47D05456"/>
    <w:rsid w:val="47DB202B"/>
    <w:rsid w:val="47E65C2F"/>
    <w:rsid w:val="47EB601C"/>
    <w:rsid w:val="47F664B8"/>
    <w:rsid w:val="47F76470"/>
    <w:rsid w:val="47FC1D1A"/>
    <w:rsid w:val="48052A48"/>
    <w:rsid w:val="48067F05"/>
    <w:rsid w:val="48082259"/>
    <w:rsid w:val="481A5198"/>
    <w:rsid w:val="481A56B0"/>
    <w:rsid w:val="481E5EE9"/>
    <w:rsid w:val="482C7A14"/>
    <w:rsid w:val="4830797B"/>
    <w:rsid w:val="484A5559"/>
    <w:rsid w:val="485974B8"/>
    <w:rsid w:val="485A507F"/>
    <w:rsid w:val="486E3D48"/>
    <w:rsid w:val="48723A44"/>
    <w:rsid w:val="487E02E7"/>
    <w:rsid w:val="48933844"/>
    <w:rsid w:val="48A067FF"/>
    <w:rsid w:val="48A26C6C"/>
    <w:rsid w:val="48A614FD"/>
    <w:rsid w:val="48AA6E8D"/>
    <w:rsid w:val="48B84574"/>
    <w:rsid w:val="48C75723"/>
    <w:rsid w:val="48C835B6"/>
    <w:rsid w:val="48CD6635"/>
    <w:rsid w:val="48D5673E"/>
    <w:rsid w:val="48DE76C4"/>
    <w:rsid w:val="48DF14A3"/>
    <w:rsid w:val="48E16DD8"/>
    <w:rsid w:val="48E31A8E"/>
    <w:rsid w:val="48E5360E"/>
    <w:rsid w:val="48F15DFA"/>
    <w:rsid w:val="48F825CF"/>
    <w:rsid w:val="4900172C"/>
    <w:rsid w:val="491451B5"/>
    <w:rsid w:val="491A53A2"/>
    <w:rsid w:val="492C6E96"/>
    <w:rsid w:val="4935686B"/>
    <w:rsid w:val="493779BE"/>
    <w:rsid w:val="493F499D"/>
    <w:rsid w:val="4940480E"/>
    <w:rsid w:val="494139AE"/>
    <w:rsid w:val="494E7EAB"/>
    <w:rsid w:val="49597EFF"/>
    <w:rsid w:val="49657721"/>
    <w:rsid w:val="49683F5D"/>
    <w:rsid w:val="49825CBE"/>
    <w:rsid w:val="49A06572"/>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AFE2097"/>
    <w:rsid w:val="4B071D1C"/>
    <w:rsid w:val="4B1232DD"/>
    <w:rsid w:val="4B151D54"/>
    <w:rsid w:val="4B1C5BD6"/>
    <w:rsid w:val="4B2030CF"/>
    <w:rsid w:val="4B273CDB"/>
    <w:rsid w:val="4B2A5E61"/>
    <w:rsid w:val="4B2B23B8"/>
    <w:rsid w:val="4B401327"/>
    <w:rsid w:val="4B551754"/>
    <w:rsid w:val="4B5A73D8"/>
    <w:rsid w:val="4B5B2881"/>
    <w:rsid w:val="4B6071FD"/>
    <w:rsid w:val="4B677249"/>
    <w:rsid w:val="4B6842EC"/>
    <w:rsid w:val="4B7707CA"/>
    <w:rsid w:val="4B8B3A50"/>
    <w:rsid w:val="4B90225B"/>
    <w:rsid w:val="4B911420"/>
    <w:rsid w:val="4B914690"/>
    <w:rsid w:val="4B967ECC"/>
    <w:rsid w:val="4B9801F4"/>
    <w:rsid w:val="4BAA574F"/>
    <w:rsid w:val="4BAB1B30"/>
    <w:rsid w:val="4BBE5648"/>
    <w:rsid w:val="4BC872F2"/>
    <w:rsid w:val="4BCD0F91"/>
    <w:rsid w:val="4BD70D0D"/>
    <w:rsid w:val="4BE55BB9"/>
    <w:rsid w:val="4BE75CB2"/>
    <w:rsid w:val="4BEE16DF"/>
    <w:rsid w:val="4BF2074E"/>
    <w:rsid w:val="4C092233"/>
    <w:rsid w:val="4C0F5E43"/>
    <w:rsid w:val="4C23594D"/>
    <w:rsid w:val="4C27590F"/>
    <w:rsid w:val="4C2941CA"/>
    <w:rsid w:val="4C2E7524"/>
    <w:rsid w:val="4C380520"/>
    <w:rsid w:val="4C3979DB"/>
    <w:rsid w:val="4C3D2514"/>
    <w:rsid w:val="4C3E0FF7"/>
    <w:rsid w:val="4C4128E4"/>
    <w:rsid w:val="4C423AC8"/>
    <w:rsid w:val="4C5064CF"/>
    <w:rsid w:val="4C5C145C"/>
    <w:rsid w:val="4C642696"/>
    <w:rsid w:val="4C753405"/>
    <w:rsid w:val="4C834096"/>
    <w:rsid w:val="4C847B8A"/>
    <w:rsid w:val="4C901025"/>
    <w:rsid w:val="4C906211"/>
    <w:rsid w:val="4C96033B"/>
    <w:rsid w:val="4C97549D"/>
    <w:rsid w:val="4C9B430A"/>
    <w:rsid w:val="4C9F5F18"/>
    <w:rsid w:val="4CA52FBE"/>
    <w:rsid w:val="4CA6567B"/>
    <w:rsid w:val="4CAB201F"/>
    <w:rsid w:val="4CC4204E"/>
    <w:rsid w:val="4CC754CA"/>
    <w:rsid w:val="4CCD1787"/>
    <w:rsid w:val="4CCF2F1F"/>
    <w:rsid w:val="4CD841F0"/>
    <w:rsid w:val="4CD87782"/>
    <w:rsid w:val="4CDA1C06"/>
    <w:rsid w:val="4CDD1206"/>
    <w:rsid w:val="4CF06B00"/>
    <w:rsid w:val="4CF76CE2"/>
    <w:rsid w:val="4CF813F9"/>
    <w:rsid w:val="4CFA2A1C"/>
    <w:rsid w:val="4D140C26"/>
    <w:rsid w:val="4D1A0CE9"/>
    <w:rsid w:val="4D1B2635"/>
    <w:rsid w:val="4D221D9C"/>
    <w:rsid w:val="4D2251B3"/>
    <w:rsid w:val="4D2A31DF"/>
    <w:rsid w:val="4D3071CD"/>
    <w:rsid w:val="4D375FBE"/>
    <w:rsid w:val="4D463441"/>
    <w:rsid w:val="4D4A1C5C"/>
    <w:rsid w:val="4D536914"/>
    <w:rsid w:val="4D607AA8"/>
    <w:rsid w:val="4D6837B8"/>
    <w:rsid w:val="4D6A0811"/>
    <w:rsid w:val="4D6F6F69"/>
    <w:rsid w:val="4D714816"/>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66332D"/>
    <w:rsid w:val="4E710658"/>
    <w:rsid w:val="4E846458"/>
    <w:rsid w:val="4E8603AB"/>
    <w:rsid w:val="4E972981"/>
    <w:rsid w:val="4E9D6535"/>
    <w:rsid w:val="4EA2405B"/>
    <w:rsid w:val="4EAC2166"/>
    <w:rsid w:val="4EB244F5"/>
    <w:rsid w:val="4EC250AA"/>
    <w:rsid w:val="4EC43EE2"/>
    <w:rsid w:val="4ED571BE"/>
    <w:rsid w:val="4EDC653A"/>
    <w:rsid w:val="4EE23ABC"/>
    <w:rsid w:val="4EFB75BE"/>
    <w:rsid w:val="4F0129AC"/>
    <w:rsid w:val="4F01717B"/>
    <w:rsid w:val="4F097167"/>
    <w:rsid w:val="4F0D434F"/>
    <w:rsid w:val="4F1F2B7E"/>
    <w:rsid w:val="4F2426EF"/>
    <w:rsid w:val="4F3D7B0D"/>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B9378A"/>
    <w:rsid w:val="4FC5749B"/>
    <w:rsid w:val="4FC6748D"/>
    <w:rsid w:val="4FD14464"/>
    <w:rsid w:val="4FDD76D1"/>
    <w:rsid w:val="4FE20BB5"/>
    <w:rsid w:val="4FE6073F"/>
    <w:rsid w:val="4FE75848"/>
    <w:rsid w:val="4FEA51AE"/>
    <w:rsid w:val="4FF267B6"/>
    <w:rsid w:val="4FFA7287"/>
    <w:rsid w:val="5003514C"/>
    <w:rsid w:val="500C2485"/>
    <w:rsid w:val="500C2A64"/>
    <w:rsid w:val="500D717C"/>
    <w:rsid w:val="50166EE3"/>
    <w:rsid w:val="502C53C6"/>
    <w:rsid w:val="503839AD"/>
    <w:rsid w:val="503B7294"/>
    <w:rsid w:val="503F2872"/>
    <w:rsid w:val="50435A98"/>
    <w:rsid w:val="50564035"/>
    <w:rsid w:val="50576974"/>
    <w:rsid w:val="505E566C"/>
    <w:rsid w:val="50680896"/>
    <w:rsid w:val="50736D9F"/>
    <w:rsid w:val="50953072"/>
    <w:rsid w:val="509A6650"/>
    <w:rsid w:val="50AF7D6F"/>
    <w:rsid w:val="50B14CA7"/>
    <w:rsid w:val="50B37BF5"/>
    <w:rsid w:val="50B42C92"/>
    <w:rsid w:val="50C46433"/>
    <w:rsid w:val="50CA02C2"/>
    <w:rsid w:val="50F04F61"/>
    <w:rsid w:val="50F55DCE"/>
    <w:rsid w:val="50F62803"/>
    <w:rsid w:val="51122A4F"/>
    <w:rsid w:val="5118355B"/>
    <w:rsid w:val="512460D1"/>
    <w:rsid w:val="5125613F"/>
    <w:rsid w:val="512A08D6"/>
    <w:rsid w:val="512B081D"/>
    <w:rsid w:val="512B276E"/>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B1F70"/>
    <w:rsid w:val="51DE6A73"/>
    <w:rsid w:val="51E16839"/>
    <w:rsid w:val="51F326E7"/>
    <w:rsid w:val="52037937"/>
    <w:rsid w:val="521956B4"/>
    <w:rsid w:val="52306F10"/>
    <w:rsid w:val="523F19CF"/>
    <w:rsid w:val="52463294"/>
    <w:rsid w:val="52473222"/>
    <w:rsid w:val="52491D69"/>
    <w:rsid w:val="524C1ED0"/>
    <w:rsid w:val="5252693E"/>
    <w:rsid w:val="525B21B3"/>
    <w:rsid w:val="527575EA"/>
    <w:rsid w:val="5288723F"/>
    <w:rsid w:val="529D62AB"/>
    <w:rsid w:val="529F4D3D"/>
    <w:rsid w:val="52A764C0"/>
    <w:rsid w:val="52A77E20"/>
    <w:rsid w:val="52AA1D5D"/>
    <w:rsid w:val="52AA5BC1"/>
    <w:rsid w:val="52B27CEE"/>
    <w:rsid w:val="52C716E5"/>
    <w:rsid w:val="52C73CB6"/>
    <w:rsid w:val="52CC2515"/>
    <w:rsid w:val="52CF5BD6"/>
    <w:rsid w:val="52D43386"/>
    <w:rsid w:val="52E02DB1"/>
    <w:rsid w:val="52E15A71"/>
    <w:rsid w:val="52E379E2"/>
    <w:rsid w:val="52E64FBD"/>
    <w:rsid w:val="52ED5A18"/>
    <w:rsid w:val="52F804A2"/>
    <w:rsid w:val="53002131"/>
    <w:rsid w:val="530B0D9A"/>
    <w:rsid w:val="530C65D4"/>
    <w:rsid w:val="532049B3"/>
    <w:rsid w:val="5322043D"/>
    <w:rsid w:val="532219F2"/>
    <w:rsid w:val="5328483A"/>
    <w:rsid w:val="532D0EE3"/>
    <w:rsid w:val="53361AE6"/>
    <w:rsid w:val="533C018A"/>
    <w:rsid w:val="53452322"/>
    <w:rsid w:val="534578C9"/>
    <w:rsid w:val="5347639A"/>
    <w:rsid w:val="534E13AE"/>
    <w:rsid w:val="534E2F35"/>
    <w:rsid w:val="53513372"/>
    <w:rsid w:val="53586648"/>
    <w:rsid w:val="537629B5"/>
    <w:rsid w:val="537B6AB8"/>
    <w:rsid w:val="538556C1"/>
    <w:rsid w:val="53866318"/>
    <w:rsid w:val="538C276C"/>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C32F1"/>
    <w:rsid w:val="540D2DB1"/>
    <w:rsid w:val="54113405"/>
    <w:rsid w:val="54230C15"/>
    <w:rsid w:val="54265DCC"/>
    <w:rsid w:val="54564BA3"/>
    <w:rsid w:val="54591CC2"/>
    <w:rsid w:val="545A23E4"/>
    <w:rsid w:val="545D2A76"/>
    <w:rsid w:val="5476101E"/>
    <w:rsid w:val="547C69F2"/>
    <w:rsid w:val="548352CB"/>
    <w:rsid w:val="548B782B"/>
    <w:rsid w:val="548B79F3"/>
    <w:rsid w:val="54900F96"/>
    <w:rsid w:val="54990495"/>
    <w:rsid w:val="549D31B2"/>
    <w:rsid w:val="54A12B05"/>
    <w:rsid w:val="54AE498A"/>
    <w:rsid w:val="54B56EED"/>
    <w:rsid w:val="54CE78A2"/>
    <w:rsid w:val="54D509EC"/>
    <w:rsid w:val="54D73DC0"/>
    <w:rsid w:val="54D94CB6"/>
    <w:rsid w:val="54DB3A57"/>
    <w:rsid w:val="54E812AC"/>
    <w:rsid w:val="54EA5084"/>
    <w:rsid w:val="54EC4FC7"/>
    <w:rsid w:val="55093E22"/>
    <w:rsid w:val="553266E7"/>
    <w:rsid w:val="553413DD"/>
    <w:rsid w:val="55367F4D"/>
    <w:rsid w:val="55376110"/>
    <w:rsid w:val="553A13A9"/>
    <w:rsid w:val="55440B0E"/>
    <w:rsid w:val="55494A31"/>
    <w:rsid w:val="554B1F27"/>
    <w:rsid w:val="554E2E03"/>
    <w:rsid w:val="556643C5"/>
    <w:rsid w:val="556D79E1"/>
    <w:rsid w:val="556E64D4"/>
    <w:rsid w:val="557370C9"/>
    <w:rsid w:val="55794F8B"/>
    <w:rsid w:val="557B4C8B"/>
    <w:rsid w:val="55832F33"/>
    <w:rsid w:val="558A5F58"/>
    <w:rsid w:val="558D782E"/>
    <w:rsid w:val="558F42FA"/>
    <w:rsid w:val="55951C70"/>
    <w:rsid w:val="55995C7E"/>
    <w:rsid w:val="55B15C2A"/>
    <w:rsid w:val="55B41C7D"/>
    <w:rsid w:val="55B52DF8"/>
    <w:rsid w:val="55BB4B52"/>
    <w:rsid w:val="55CA34C8"/>
    <w:rsid w:val="55CB1CAC"/>
    <w:rsid w:val="55D11067"/>
    <w:rsid w:val="55D1448A"/>
    <w:rsid w:val="55D15F89"/>
    <w:rsid w:val="55D24E7E"/>
    <w:rsid w:val="55E43802"/>
    <w:rsid w:val="55EA6D1D"/>
    <w:rsid w:val="55EE45E5"/>
    <w:rsid w:val="55FD4C13"/>
    <w:rsid w:val="55FE6BE4"/>
    <w:rsid w:val="56053523"/>
    <w:rsid w:val="560839E5"/>
    <w:rsid w:val="560A2D1E"/>
    <w:rsid w:val="561B3DC0"/>
    <w:rsid w:val="56211BC6"/>
    <w:rsid w:val="563252AC"/>
    <w:rsid w:val="56410B06"/>
    <w:rsid w:val="56417390"/>
    <w:rsid w:val="565874D5"/>
    <w:rsid w:val="56597936"/>
    <w:rsid w:val="565A3745"/>
    <w:rsid w:val="56674043"/>
    <w:rsid w:val="566A4A9E"/>
    <w:rsid w:val="567E7717"/>
    <w:rsid w:val="56890707"/>
    <w:rsid w:val="5694199B"/>
    <w:rsid w:val="56970220"/>
    <w:rsid w:val="56A010CA"/>
    <w:rsid w:val="56A349B9"/>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508E"/>
    <w:rsid w:val="573B6A9D"/>
    <w:rsid w:val="57495B53"/>
    <w:rsid w:val="574D4C69"/>
    <w:rsid w:val="574F1ACC"/>
    <w:rsid w:val="57555665"/>
    <w:rsid w:val="575F3DA0"/>
    <w:rsid w:val="575F7D63"/>
    <w:rsid w:val="57607DA2"/>
    <w:rsid w:val="5764164C"/>
    <w:rsid w:val="576E32F7"/>
    <w:rsid w:val="57741E6F"/>
    <w:rsid w:val="577838C7"/>
    <w:rsid w:val="577A51D7"/>
    <w:rsid w:val="578274F3"/>
    <w:rsid w:val="57885BFA"/>
    <w:rsid w:val="578E0E4C"/>
    <w:rsid w:val="57955666"/>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9A5D13"/>
    <w:rsid w:val="58A03185"/>
    <w:rsid w:val="58A04280"/>
    <w:rsid w:val="58A4669B"/>
    <w:rsid w:val="58A74E2C"/>
    <w:rsid w:val="58B50A9E"/>
    <w:rsid w:val="58B54357"/>
    <w:rsid w:val="58B67D21"/>
    <w:rsid w:val="58B769FC"/>
    <w:rsid w:val="58C213D0"/>
    <w:rsid w:val="58CA2633"/>
    <w:rsid w:val="58D108AB"/>
    <w:rsid w:val="58D973ED"/>
    <w:rsid w:val="58E849A9"/>
    <w:rsid w:val="58F14B54"/>
    <w:rsid w:val="5907013E"/>
    <w:rsid w:val="590848BC"/>
    <w:rsid w:val="5917423E"/>
    <w:rsid w:val="59281BBA"/>
    <w:rsid w:val="59383FC3"/>
    <w:rsid w:val="593B0E3D"/>
    <w:rsid w:val="593E4705"/>
    <w:rsid w:val="594C374D"/>
    <w:rsid w:val="59523F34"/>
    <w:rsid w:val="59565A07"/>
    <w:rsid w:val="595912C2"/>
    <w:rsid w:val="59826013"/>
    <w:rsid w:val="598C6A35"/>
    <w:rsid w:val="59916C22"/>
    <w:rsid w:val="599312D8"/>
    <w:rsid w:val="599B1422"/>
    <w:rsid w:val="59A83A62"/>
    <w:rsid w:val="59AE6DF4"/>
    <w:rsid w:val="59AF2D7A"/>
    <w:rsid w:val="59B4120E"/>
    <w:rsid w:val="59BD41FF"/>
    <w:rsid w:val="59C62A60"/>
    <w:rsid w:val="59CF35AC"/>
    <w:rsid w:val="59D93084"/>
    <w:rsid w:val="59E268FB"/>
    <w:rsid w:val="59E539F6"/>
    <w:rsid w:val="5A0156A4"/>
    <w:rsid w:val="5A043486"/>
    <w:rsid w:val="5A082B87"/>
    <w:rsid w:val="5A0C31B3"/>
    <w:rsid w:val="5A0D6A16"/>
    <w:rsid w:val="5A13713E"/>
    <w:rsid w:val="5A191F5F"/>
    <w:rsid w:val="5A280787"/>
    <w:rsid w:val="5A2B68D2"/>
    <w:rsid w:val="5A2C67A3"/>
    <w:rsid w:val="5A2F6ABD"/>
    <w:rsid w:val="5A3E4B03"/>
    <w:rsid w:val="5A415650"/>
    <w:rsid w:val="5A507CF4"/>
    <w:rsid w:val="5A5105C3"/>
    <w:rsid w:val="5A58463C"/>
    <w:rsid w:val="5A591C8B"/>
    <w:rsid w:val="5A5925FE"/>
    <w:rsid w:val="5A5A54FE"/>
    <w:rsid w:val="5A5A763A"/>
    <w:rsid w:val="5A70416F"/>
    <w:rsid w:val="5A751708"/>
    <w:rsid w:val="5A8654CC"/>
    <w:rsid w:val="5A8D164F"/>
    <w:rsid w:val="5AAD6717"/>
    <w:rsid w:val="5AB032EE"/>
    <w:rsid w:val="5AB36283"/>
    <w:rsid w:val="5ABA5BB6"/>
    <w:rsid w:val="5AC13BE8"/>
    <w:rsid w:val="5ACB1769"/>
    <w:rsid w:val="5AD806B8"/>
    <w:rsid w:val="5ADA200C"/>
    <w:rsid w:val="5ADA5D95"/>
    <w:rsid w:val="5AE03D79"/>
    <w:rsid w:val="5AE30904"/>
    <w:rsid w:val="5AF0056F"/>
    <w:rsid w:val="5AF0295A"/>
    <w:rsid w:val="5B006684"/>
    <w:rsid w:val="5B04366C"/>
    <w:rsid w:val="5B0519EE"/>
    <w:rsid w:val="5B0C78F5"/>
    <w:rsid w:val="5B105CF0"/>
    <w:rsid w:val="5B1523FA"/>
    <w:rsid w:val="5B217F39"/>
    <w:rsid w:val="5B2E1668"/>
    <w:rsid w:val="5B39471A"/>
    <w:rsid w:val="5B3D40D6"/>
    <w:rsid w:val="5B4C60A1"/>
    <w:rsid w:val="5B500A59"/>
    <w:rsid w:val="5B506AC3"/>
    <w:rsid w:val="5B526958"/>
    <w:rsid w:val="5B536466"/>
    <w:rsid w:val="5B5B7E61"/>
    <w:rsid w:val="5B68723A"/>
    <w:rsid w:val="5B743189"/>
    <w:rsid w:val="5B875274"/>
    <w:rsid w:val="5B930D6A"/>
    <w:rsid w:val="5B9C259D"/>
    <w:rsid w:val="5BA142A2"/>
    <w:rsid w:val="5BA51E4A"/>
    <w:rsid w:val="5BA93B43"/>
    <w:rsid w:val="5BB67C27"/>
    <w:rsid w:val="5BB97332"/>
    <w:rsid w:val="5BBC6476"/>
    <w:rsid w:val="5BBD0089"/>
    <w:rsid w:val="5BCF72D3"/>
    <w:rsid w:val="5BD06812"/>
    <w:rsid w:val="5BD734B1"/>
    <w:rsid w:val="5BD868EE"/>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6F7EB5"/>
    <w:rsid w:val="5C74658F"/>
    <w:rsid w:val="5C831D8A"/>
    <w:rsid w:val="5C8C7C44"/>
    <w:rsid w:val="5C915DBC"/>
    <w:rsid w:val="5C987128"/>
    <w:rsid w:val="5C9A36E7"/>
    <w:rsid w:val="5CA729BF"/>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342327"/>
    <w:rsid w:val="5D4C2BA0"/>
    <w:rsid w:val="5D510042"/>
    <w:rsid w:val="5D5339AB"/>
    <w:rsid w:val="5D604556"/>
    <w:rsid w:val="5D6D6215"/>
    <w:rsid w:val="5D8750FF"/>
    <w:rsid w:val="5DA03427"/>
    <w:rsid w:val="5DA12B26"/>
    <w:rsid w:val="5DA52D6F"/>
    <w:rsid w:val="5DA85528"/>
    <w:rsid w:val="5DB36A46"/>
    <w:rsid w:val="5DB467EB"/>
    <w:rsid w:val="5DBE365D"/>
    <w:rsid w:val="5DC7387E"/>
    <w:rsid w:val="5DCD3218"/>
    <w:rsid w:val="5DCD5873"/>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5E419B"/>
    <w:rsid w:val="5E607A72"/>
    <w:rsid w:val="5E640B4C"/>
    <w:rsid w:val="5E6D4A6C"/>
    <w:rsid w:val="5E721515"/>
    <w:rsid w:val="5E7A027D"/>
    <w:rsid w:val="5E8421F4"/>
    <w:rsid w:val="5E857C28"/>
    <w:rsid w:val="5E922AF4"/>
    <w:rsid w:val="5E943315"/>
    <w:rsid w:val="5E976953"/>
    <w:rsid w:val="5E99403E"/>
    <w:rsid w:val="5EA23BEF"/>
    <w:rsid w:val="5EAA45C2"/>
    <w:rsid w:val="5EAB7374"/>
    <w:rsid w:val="5EB5647F"/>
    <w:rsid w:val="5ECA27B9"/>
    <w:rsid w:val="5ECB7BF2"/>
    <w:rsid w:val="5EE55CA3"/>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930CB"/>
    <w:rsid w:val="5F5F2A5D"/>
    <w:rsid w:val="5F615C89"/>
    <w:rsid w:val="5F6331CC"/>
    <w:rsid w:val="5F6A70E7"/>
    <w:rsid w:val="5F7413ED"/>
    <w:rsid w:val="5F74277E"/>
    <w:rsid w:val="5F771E2C"/>
    <w:rsid w:val="5F817E11"/>
    <w:rsid w:val="5F88394B"/>
    <w:rsid w:val="5F916B4B"/>
    <w:rsid w:val="5F9C1A78"/>
    <w:rsid w:val="5FA76A91"/>
    <w:rsid w:val="5FA85234"/>
    <w:rsid w:val="5FBA5EC2"/>
    <w:rsid w:val="5FC57C91"/>
    <w:rsid w:val="5FCE245F"/>
    <w:rsid w:val="5FCE283F"/>
    <w:rsid w:val="5FCF3308"/>
    <w:rsid w:val="5FD32219"/>
    <w:rsid w:val="5FD370E2"/>
    <w:rsid w:val="5FDC1B9B"/>
    <w:rsid w:val="5FE452E5"/>
    <w:rsid w:val="5FF50B7C"/>
    <w:rsid w:val="5FF564FD"/>
    <w:rsid w:val="5FF73609"/>
    <w:rsid w:val="5FF74A8C"/>
    <w:rsid w:val="5FF80F4A"/>
    <w:rsid w:val="5FFB1252"/>
    <w:rsid w:val="60072412"/>
    <w:rsid w:val="600E0E1E"/>
    <w:rsid w:val="60130301"/>
    <w:rsid w:val="60196F3A"/>
    <w:rsid w:val="603043EF"/>
    <w:rsid w:val="604D59E9"/>
    <w:rsid w:val="6053446B"/>
    <w:rsid w:val="60536011"/>
    <w:rsid w:val="605C4014"/>
    <w:rsid w:val="606821BD"/>
    <w:rsid w:val="60830074"/>
    <w:rsid w:val="60870B21"/>
    <w:rsid w:val="608E350A"/>
    <w:rsid w:val="6095223F"/>
    <w:rsid w:val="60A869EE"/>
    <w:rsid w:val="60AA0843"/>
    <w:rsid w:val="60AC0C65"/>
    <w:rsid w:val="60AF3BE9"/>
    <w:rsid w:val="60B751F5"/>
    <w:rsid w:val="60D33850"/>
    <w:rsid w:val="60D770B3"/>
    <w:rsid w:val="60D8190A"/>
    <w:rsid w:val="60DB7CBD"/>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060D3"/>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9F065A"/>
    <w:rsid w:val="62B25649"/>
    <w:rsid w:val="62B73743"/>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C7742"/>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321FB"/>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83B4A"/>
    <w:rsid w:val="640E3524"/>
    <w:rsid w:val="640F4F56"/>
    <w:rsid w:val="640F7FA3"/>
    <w:rsid w:val="64102D47"/>
    <w:rsid w:val="64231810"/>
    <w:rsid w:val="64280937"/>
    <w:rsid w:val="64294638"/>
    <w:rsid w:val="642D5F34"/>
    <w:rsid w:val="642F435C"/>
    <w:rsid w:val="64307255"/>
    <w:rsid w:val="643136E1"/>
    <w:rsid w:val="64376A42"/>
    <w:rsid w:val="64410116"/>
    <w:rsid w:val="64412FC5"/>
    <w:rsid w:val="644520C4"/>
    <w:rsid w:val="644A77C2"/>
    <w:rsid w:val="644E4B1D"/>
    <w:rsid w:val="646D1FB5"/>
    <w:rsid w:val="6475495F"/>
    <w:rsid w:val="64826F27"/>
    <w:rsid w:val="64890815"/>
    <w:rsid w:val="64A37D80"/>
    <w:rsid w:val="64AB2CF9"/>
    <w:rsid w:val="64AC17E3"/>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4551E6"/>
    <w:rsid w:val="65544D25"/>
    <w:rsid w:val="655C6CD3"/>
    <w:rsid w:val="6566344B"/>
    <w:rsid w:val="656A573C"/>
    <w:rsid w:val="656D3E63"/>
    <w:rsid w:val="65731938"/>
    <w:rsid w:val="65763127"/>
    <w:rsid w:val="6582169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ED3E5E"/>
    <w:rsid w:val="65FD3C6D"/>
    <w:rsid w:val="660518AD"/>
    <w:rsid w:val="6607611A"/>
    <w:rsid w:val="66112D35"/>
    <w:rsid w:val="662249C7"/>
    <w:rsid w:val="662E458E"/>
    <w:rsid w:val="664F1459"/>
    <w:rsid w:val="6660751B"/>
    <w:rsid w:val="66695A3D"/>
    <w:rsid w:val="666E4871"/>
    <w:rsid w:val="667E1BDC"/>
    <w:rsid w:val="66843C27"/>
    <w:rsid w:val="668A358B"/>
    <w:rsid w:val="669052F7"/>
    <w:rsid w:val="669D0A84"/>
    <w:rsid w:val="66A22294"/>
    <w:rsid w:val="66B167D9"/>
    <w:rsid w:val="66B718F6"/>
    <w:rsid w:val="66B77C96"/>
    <w:rsid w:val="66C6028C"/>
    <w:rsid w:val="66EB255A"/>
    <w:rsid w:val="66F35B25"/>
    <w:rsid w:val="66FA0F0B"/>
    <w:rsid w:val="66FD34E6"/>
    <w:rsid w:val="66FE30D6"/>
    <w:rsid w:val="67087440"/>
    <w:rsid w:val="670B02A7"/>
    <w:rsid w:val="671A5340"/>
    <w:rsid w:val="671B2EF2"/>
    <w:rsid w:val="67200B3F"/>
    <w:rsid w:val="67305EDA"/>
    <w:rsid w:val="6732010A"/>
    <w:rsid w:val="6733716B"/>
    <w:rsid w:val="67396278"/>
    <w:rsid w:val="673E0E9D"/>
    <w:rsid w:val="674D7E5D"/>
    <w:rsid w:val="67523C88"/>
    <w:rsid w:val="6756464F"/>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A7D4C"/>
    <w:rsid w:val="67FD5E3A"/>
    <w:rsid w:val="680111FD"/>
    <w:rsid w:val="680B3317"/>
    <w:rsid w:val="6810413D"/>
    <w:rsid w:val="682C3322"/>
    <w:rsid w:val="683407D5"/>
    <w:rsid w:val="683F785C"/>
    <w:rsid w:val="68570DC2"/>
    <w:rsid w:val="6865768E"/>
    <w:rsid w:val="68666722"/>
    <w:rsid w:val="6868422B"/>
    <w:rsid w:val="6870626F"/>
    <w:rsid w:val="68756660"/>
    <w:rsid w:val="687B65AE"/>
    <w:rsid w:val="68847A53"/>
    <w:rsid w:val="688B2754"/>
    <w:rsid w:val="68910854"/>
    <w:rsid w:val="68A208F6"/>
    <w:rsid w:val="68A864AF"/>
    <w:rsid w:val="68F4740B"/>
    <w:rsid w:val="68FD6FF5"/>
    <w:rsid w:val="68FE10A8"/>
    <w:rsid w:val="68FE79AF"/>
    <w:rsid w:val="69012993"/>
    <w:rsid w:val="690220BD"/>
    <w:rsid w:val="69030DDF"/>
    <w:rsid w:val="690D4041"/>
    <w:rsid w:val="6912744C"/>
    <w:rsid w:val="69187AE4"/>
    <w:rsid w:val="691B76DD"/>
    <w:rsid w:val="69273460"/>
    <w:rsid w:val="69286F07"/>
    <w:rsid w:val="692B095B"/>
    <w:rsid w:val="69336BFC"/>
    <w:rsid w:val="694D0C05"/>
    <w:rsid w:val="694F15B3"/>
    <w:rsid w:val="695100E3"/>
    <w:rsid w:val="695276CE"/>
    <w:rsid w:val="69611825"/>
    <w:rsid w:val="696E6A02"/>
    <w:rsid w:val="69797C2C"/>
    <w:rsid w:val="69823C91"/>
    <w:rsid w:val="69826BA8"/>
    <w:rsid w:val="698A1E75"/>
    <w:rsid w:val="6998191E"/>
    <w:rsid w:val="699D3999"/>
    <w:rsid w:val="69A0156D"/>
    <w:rsid w:val="69B071F3"/>
    <w:rsid w:val="69B3536F"/>
    <w:rsid w:val="69BB5859"/>
    <w:rsid w:val="69BE0417"/>
    <w:rsid w:val="69BF1493"/>
    <w:rsid w:val="69C20911"/>
    <w:rsid w:val="69C5778C"/>
    <w:rsid w:val="69C953F4"/>
    <w:rsid w:val="69CA0200"/>
    <w:rsid w:val="69D12A83"/>
    <w:rsid w:val="69D15066"/>
    <w:rsid w:val="69DF62ED"/>
    <w:rsid w:val="69E3416F"/>
    <w:rsid w:val="69E55D04"/>
    <w:rsid w:val="69E71CBB"/>
    <w:rsid w:val="69F105B9"/>
    <w:rsid w:val="6A041549"/>
    <w:rsid w:val="6A062314"/>
    <w:rsid w:val="6A062F06"/>
    <w:rsid w:val="6A07169A"/>
    <w:rsid w:val="6A071E00"/>
    <w:rsid w:val="6A0F026D"/>
    <w:rsid w:val="6A1904ED"/>
    <w:rsid w:val="6A252E83"/>
    <w:rsid w:val="6A2B39A2"/>
    <w:rsid w:val="6A2F2A40"/>
    <w:rsid w:val="6A4D3CC2"/>
    <w:rsid w:val="6A4E63D2"/>
    <w:rsid w:val="6A574BA7"/>
    <w:rsid w:val="6A7061D6"/>
    <w:rsid w:val="6A72023C"/>
    <w:rsid w:val="6A763A2D"/>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82E78"/>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16248"/>
    <w:rsid w:val="6C081D85"/>
    <w:rsid w:val="6C0B3C6A"/>
    <w:rsid w:val="6C0B6EFE"/>
    <w:rsid w:val="6C151FEE"/>
    <w:rsid w:val="6C166900"/>
    <w:rsid w:val="6C337910"/>
    <w:rsid w:val="6C404FA0"/>
    <w:rsid w:val="6C4B4E38"/>
    <w:rsid w:val="6C5343CE"/>
    <w:rsid w:val="6C5643DD"/>
    <w:rsid w:val="6C5A40D8"/>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A507D"/>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97DB1"/>
    <w:rsid w:val="6D2B774A"/>
    <w:rsid w:val="6D4A2F8D"/>
    <w:rsid w:val="6D4B2AE7"/>
    <w:rsid w:val="6D563901"/>
    <w:rsid w:val="6D564DD4"/>
    <w:rsid w:val="6D5E77D6"/>
    <w:rsid w:val="6D5F0BC8"/>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997104"/>
    <w:rsid w:val="6EA2047A"/>
    <w:rsid w:val="6EB02A3D"/>
    <w:rsid w:val="6EB61295"/>
    <w:rsid w:val="6ECE7848"/>
    <w:rsid w:val="6ECE78F2"/>
    <w:rsid w:val="6EDD0E4F"/>
    <w:rsid w:val="6EE45BEF"/>
    <w:rsid w:val="6EEB23CD"/>
    <w:rsid w:val="6EEB289D"/>
    <w:rsid w:val="6EEC2156"/>
    <w:rsid w:val="6EF76E3B"/>
    <w:rsid w:val="6F08121A"/>
    <w:rsid w:val="6F1A7823"/>
    <w:rsid w:val="6F2E4584"/>
    <w:rsid w:val="6F3B231F"/>
    <w:rsid w:val="6F506F31"/>
    <w:rsid w:val="6F5144F5"/>
    <w:rsid w:val="6F652332"/>
    <w:rsid w:val="6F6B6565"/>
    <w:rsid w:val="6F721BEC"/>
    <w:rsid w:val="6F7826CF"/>
    <w:rsid w:val="6F87584E"/>
    <w:rsid w:val="6F896002"/>
    <w:rsid w:val="6F896F89"/>
    <w:rsid w:val="6F8C1763"/>
    <w:rsid w:val="6F8C1F27"/>
    <w:rsid w:val="6F8F70CC"/>
    <w:rsid w:val="6F906381"/>
    <w:rsid w:val="6F917FAF"/>
    <w:rsid w:val="6F972CFB"/>
    <w:rsid w:val="6F9A3481"/>
    <w:rsid w:val="6F9A4FCC"/>
    <w:rsid w:val="6F9C1AEB"/>
    <w:rsid w:val="6F9F28E6"/>
    <w:rsid w:val="6F9F2DC4"/>
    <w:rsid w:val="6FAA3674"/>
    <w:rsid w:val="6FB07698"/>
    <w:rsid w:val="6FC07B20"/>
    <w:rsid w:val="6FC57A5A"/>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30580"/>
    <w:rsid w:val="70387BCD"/>
    <w:rsid w:val="703A78B5"/>
    <w:rsid w:val="70416737"/>
    <w:rsid w:val="704D5C5C"/>
    <w:rsid w:val="70565E69"/>
    <w:rsid w:val="706D4E67"/>
    <w:rsid w:val="7079762B"/>
    <w:rsid w:val="708014F1"/>
    <w:rsid w:val="70983A85"/>
    <w:rsid w:val="7099331C"/>
    <w:rsid w:val="70A048FD"/>
    <w:rsid w:val="70A40930"/>
    <w:rsid w:val="70A7716A"/>
    <w:rsid w:val="70AA59AD"/>
    <w:rsid w:val="70B8391A"/>
    <w:rsid w:val="70C278F5"/>
    <w:rsid w:val="70C76086"/>
    <w:rsid w:val="70D55D00"/>
    <w:rsid w:val="70DC06A6"/>
    <w:rsid w:val="70DD4BB8"/>
    <w:rsid w:val="70E23125"/>
    <w:rsid w:val="70F16AD0"/>
    <w:rsid w:val="70F528A6"/>
    <w:rsid w:val="70FF1E43"/>
    <w:rsid w:val="71062FFD"/>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50387"/>
    <w:rsid w:val="71951BE8"/>
    <w:rsid w:val="7197193B"/>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E65968"/>
    <w:rsid w:val="71F723E8"/>
    <w:rsid w:val="7202528F"/>
    <w:rsid w:val="72196F07"/>
    <w:rsid w:val="721C71DD"/>
    <w:rsid w:val="722E1DAB"/>
    <w:rsid w:val="72317074"/>
    <w:rsid w:val="723423EA"/>
    <w:rsid w:val="723472E2"/>
    <w:rsid w:val="72357F64"/>
    <w:rsid w:val="72365637"/>
    <w:rsid w:val="72386A0D"/>
    <w:rsid w:val="7252252A"/>
    <w:rsid w:val="72562A15"/>
    <w:rsid w:val="726631BE"/>
    <w:rsid w:val="726C5886"/>
    <w:rsid w:val="727205E6"/>
    <w:rsid w:val="727262A0"/>
    <w:rsid w:val="727B396C"/>
    <w:rsid w:val="72806500"/>
    <w:rsid w:val="728511DC"/>
    <w:rsid w:val="728A0199"/>
    <w:rsid w:val="72904C14"/>
    <w:rsid w:val="72906D0C"/>
    <w:rsid w:val="729D6EDF"/>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1722A"/>
    <w:rsid w:val="735C71B3"/>
    <w:rsid w:val="7374494E"/>
    <w:rsid w:val="73761AFD"/>
    <w:rsid w:val="737816A8"/>
    <w:rsid w:val="737C58BE"/>
    <w:rsid w:val="737E55D6"/>
    <w:rsid w:val="737E7075"/>
    <w:rsid w:val="73937D3A"/>
    <w:rsid w:val="739D19BD"/>
    <w:rsid w:val="73A31C75"/>
    <w:rsid w:val="73AE3CBE"/>
    <w:rsid w:val="73AF49BD"/>
    <w:rsid w:val="73C31EC7"/>
    <w:rsid w:val="73CD7CF6"/>
    <w:rsid w:val="73D66539"/>
    <w:rsid w:val="73DE20E5"/>
    <w:rsid w:val="73E154A0"/>
    <w:rsid w:val="73E56CB3"/>
    <w:rsid w:val="73E77095"/>
    <w:rsid w:val="73EF795C"/>
    <w:rsid w:val="73F641AB"/>
    <w:rsid w:val="73F92E98"/>
    <w:rsid w:val="73FF2B0A"/>
    <w:rsid w:val="74000C22"/>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56C06"/>
    <w:rsid w:val="74B94487"/>
    <w:rsid w:val="74C02B00"/>
    <w:rsid w:val="74C64023"/>
    <w:rsid w:val="74D34A2A"/>
    <w:rsid w:val="74E0285E"/>
    <w:rsid w:val="74E41E18"/>
    <w:rsid w:val="74EE7A3F"/>
    <w:rsid w:val="74F4751F"/>
    <w:rsid w:val="74F91C79"/>
    <w:rsid w:val="74F94A87"/>
    <w:rsid w:val="74F97E05"/>
    <w:rsid w:val="75010FAB"/>
    <w:rsid w:val="751968C4"/>
    <w:rsid w:val="752341C1"/>
    <w:rsid w:val="75383785"/>
    <w:rsid w:val="755172C5"/>
    <w:rsid w:val="755529D0"/>
    <w:rsid w:val="7567351D"/>
    <w:rsid w:val="75692C6E"/>
    <w:rsid w:val="757C1012"/>
    <w:rsid w:val="758173F8"/>
    <w:rsid w:val="759B6AFB"/>
    <w:rsid w:val="759E4EA7"/>
    <w:rsid w:val="75A10E22"/>
    <w:rsid w:val="75AD422B"/>
    <w:rsid w:val="75C068A9"/>
    <w:rsid w:val="75CC0E61"/>
    <w:rsid w:val="75CE0374"/>
    <w:rsid w:val="75D25867"/>
    <w:rsid w:val="75D769A5"/>
    <w:rsid w:val="75DB4086"/>
    <w:rsid w:val="75DF68BB"/>
    <w:rsid w:val="75E417B2"/>
    <w:rsid w:val="75EF6F95"/>
    <w:rsid w:val="75F4218D"/>
    <w:rsid w:val="76132FE4"/>
    <w:rsid w:val="761E3F90"/>
    <w:rsid w:val="76211E97"/>
    <w:rsid w:val="762239BB"/>
    <w:rsid w:val="76272769"/>
    <w:rsid w:val="762A014F"/>
    <w:rsid w:val="76301DC9"/>
    <w:rsid w:val="763656E0"/>
    <w:rsid w:val="763C3EA3"/>
    <w:rsid w:val="76400507"/>
    <w:rsid w:val="764440D9"/>
    <w:rsid w:val="765C674B"/>
    <w:rsid w:val="765D1540"/>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0D50CB"/>
    <w:rsid w:val="771D60FB"/>
    <w:rsid w:val="77253385"/>
    <w:rsid w:val="77363120"/>
    <w:rsid w:val="773D5084"/>
    <w:rsid w:val="77597522"/>
    <w:rsid w:val="775F3709"/>
    <w:rsid w:val="77673DCE"/>
    <w:rsid w:val="777A7A3E"/>
    <w:rsid w:val="777C2047"/>
    <w:rsid w:val="777E72EB"/>
    <w:rsid w:val="778210F4"/>
    <w:rsid w:val="77837BFC"/>
    <w:rsid w:val="77872A68"/>
    <w:rsid w:val="778963A8"/>
    <w:rsid w:val="7795400E"/>
    <w:rsid w:val="779658AF"/>
    <w:rsid w:val="779B62EB"/>
    <w:rsid w:val="77A45D40"/>
    <w:rsid w:val="77A836FD"/>
    <w:rsid w:val="77A95C32"/>
    <w:rsid w:val="77AB005F"/>
    <w:rsid w:val="77AB1F47"/>
    <w:rsid w:val="77B05E65"/>
    <w:rsid w:val="77B63286"/>
    <w:rsid w:val="77CE5948"/>
    <w:rsid w:val="77CF7217"/>
    <w:rsid w:val="77D55C5A"/>
    <w:rsid w:val="77D719C1"/>
    <w:rsid w:val="77D97597"/>
    <w:rsid w:val="77DC4E85"/>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A75E3"/>
    <w:rsid w:val="785B044D"/>
    <w:rsid w:val="785F7AC3"/>
    <w:rsid w:val="78617FD5"/>
    <w:rsid w:val="78854964"/>
    <w:rsid w:val="7886683C"/>
    <w:rsid w:val="788F6B73"/>
    <w:rsid w:val="78917997"/>
    <w:rsid w:val="78981E14"/>
    <w:rsid w:val="78A16DC0"/>
    <w:rsid w:val="78A64E78"/>
    <w:rsid w:val="78A81C0C"/>
    <w:rsid w:val="78BC2826"/>
    <w:rsid w:val="78BC4079"/>
    <w:rsid w:val="78BF6574"/>
    <w:rsid w:val="78C054A7"/>
    <w:rsid w:val="78CB79FF"/>
    <w:rsid w:val="78D163F7"/>
    <w:rsid w:val="78D72EE7"/>
    <w:rsid w:val="78DA26BD"/>
    <w:rsid w:val="78DD52D7"/>
    <w:rsid w:val="78EB582C"/>
    <w:rsid w:val="78EC4EB8"/>
    <w:rsid w:val="78F04942"/>
    <w:rsid w:val="78F41573"/>
    <w:rsid w:val="78F51C92"/>
    <w:rsid w:val="78F72BFD"/>
    <w:rsid w:val="78FC5DA2"/>
    <w:rsid w:val="78FD530C"/>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1324B"/>
    <w:rsid w:val="79782668"/>
    <w:rsid w:val="797D7C7B"/>
    <w:rsid w:val="798473C1"/>
    <w:rsid w:val="798D0CB1"/>
    <w:rsid w:val="799112AD"/>
    <w:rsid w:val="79A86E7D"/>
    <w:rsid w:val="79A917D5"/>
    <w:rsid w:val="79C43B11"/>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66D06"/>
    <w:rsid w:val="7AD83D61"/>
    <w:rsid w:val="7AD8638B"/>
    <w:rsid w:val="7AE04EF0"/>
    <w:rsid w:val="7AE35C80"/>
    <w:rsid w:val="7AE66DF9"/>
    <w:rsid w:val="7AE9138D"/>
    <w:rsid w:val="7AF30762"/>
    <w:rsid w:val="7AF5755C"/>
    <w:rsid w:val="7B0831DB"/>
    <w:rsid w:val="7B127C9A"/>
    <w:rsid w:val="7B132239"/>
    <w:rsid w:val="7B14085D"/>
    <w:rsid w:val="7B18090F"/>
    <w:rsid w:val="7B215172"/>
    <w:rsid w:val="7B21591B"/>
    <w:rsid w:val="7B3525E5"/>
    <w:rsid w:val="7B3B4883"/>
    <w:rsid w:val="7B4868F2"/>
    <w:rsid w:val="7B4F6860"/>
    <w:rsid w:val="7B5E36DC"/>
    <w:rsid w:val="7B616B8F"/>
    <w:rsid w:val="7B6318CD"/>
    <w:rsid w:val="7B70382F"/>
    <w:rsid w:val="7B77268D"/>
    <w:rsid w:val="7B7D6711"/>
    <w:rsid w:val="7B7F209E"/>
    <w:rsid w:val="7B854D5B"/>
    <w:rsid w:val="7B9753D0"/>
    <w:rsid w:val="7B990D55"/>
    <w:rsid w:val="7B9A25AA"/>
    <w:rsid w:val="7B9D1C0D"/>
    <w:rsid w:val="7BA521B3"/>
    <w:rsid w:val="7BAD2945"/>
    <w:rsid w:val="7BAF270A"/>
    <w:rsid w:val="7BB4250E"/>
    <w:rsid w:val="7BBE34FB"/>
    <w:rsid w:val="7BC27BB4"/>
    <w:rsid w:val="7BCE26A5"/>
    <w:rsid w:val="7BE305B2"/>
    <w:rsid w:val="7BE7137F"/>
    <w:rsid w:val="7BF06EC0"/>
    <w:rsid w:val="7BF333D1"/>
    <w:rsid w:val="7C036F42"/>
    <w:rsid w:val="7C063E84"/>
    <w:rsid w:val="7C0E2754"/>
    <w:rsid w:val="7C18182D"/>
    <w:rsid w:val="7C1C50AC"/>
    <w:rsid w:val="7C1E48E8"/>
    <w:rsid w:val="7C270240"/>
    <w:rsid w:val="7C302A72"/>
    <w:rsid w:val="7C35301B"/>
    <w:rsid w:val="7C3D63E5"/>
    <w:rsid w:val="7C607382"/>
    <w:rsid w:val="7C6762E3"/>
    <w:rsid w:val="7C6F2369"/>
    <w:rsid w:val="7C8A0A6B"/>
    <w:rsid w:val="7C8C2941"/>
    <w:rsid w:val="7C8C4745"/>
    <w:rsid w:val="7C905063"/>
    <w:rsid w:val="7C930BAE"/>
    <w:rsid w:val="7CBF7665"/>
    <w:rsid w:val="7CBF7924"/>
    <w:rsid w:val="7CCB2B42"/>
    <w:rsid w:val="7CDF2E23"/>
    <w:rsid w:val="7CFC37A3"/>
    <w:rsid w:val="7D0522E0"/>
    <w:rsid w:val="7D176CD4"/>
    <w:rsid w:val="7D18193F"/>
    <w:rsid w:val="7D316BAB"/>
    <w:rsid w:val="7D377A61"/>
    <w:rsid w:val="7D3C36D7"/>
    <w:rsid w:val="7D433D1A"/>
    <w:rsid w:val="7D4E6D0D"/>
    <w:rsid w:val="7D547A3C"/>
    <w:rsid w:val="7D5F203D"/>
    <w:rsid w:val="7D6D7F9D"/>
    <w:rsid w:val="7D737ECC"/>
    <w:rsid w:val="7D7621E8"/>
    <w:rsid w:val="7D7F4D51"/>
    <w:rsid w:val="7D823E09"/>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A4285"/>
    <w:rsid w:val="7E0B1ECA"/>
    <w:rsid w:val="7E0D1655"/>
    <w:rsid w:val="7E0E4C52"/>
    <w:rsid w:val="7E180D00"/>
    <w:rsid w:val="7E1A5F33"/>
    <w:rsid w:val="7E1B1677"/>
    <w:rsid w:val="7E1B4DBE"/>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342EBD"/>
    <w:rsid w:val="7F3F4EA7"/>
    <w:rsid w:val="7F497E6B"/>
    <w:rsid w:val="7F4A08E4"/>
    <w:rsid w:val="7F4A73D2"/>
    <w:rsid w:val="7F4C786A"/>
    <w:rsid w:val="7F5C2611"/>
    <w:rsid w:val="7F5D1468"/>
    <w:rsid w:val="7F6652E2"/>
    <w:rsid w:val="7F721CC2"/>
    <w:rsid w:val="7F7815B7"/>
    <w:rsid w:val="7F7C5084"/>
    <w:rsid w:val="7F7D23B8"/>
    <w:rsid w:val="7F8D6516"/>
    <w:rsid w:val="7F9075B7"/>
    <w:rsid w:val="7F9614FF"/>
    <w:rsid w:val="7F9C2851"/>
    <w:rsid w:val="7F9C3B32"/>
    <w:rsid w:val="7FA27E45"/>
    <w:rsid w:val="7FA82070"/>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8"/>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01545-CB58-4314-B26E-15F61277701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3518</Words>
  <Characters>20055</Characters>
  <Lines>167</Lines>
  <Paragraphs>47</Paragraphs>
  <TotalTime>2</TotalTime>
  <ScaleCrop>false</ScaleCrop>
  <LinksUpToDate>false</LinksUpToDate>
  <CharactersWithSpaces>23526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ZTE-Mengjie</cp:lastModifiedBy>
  <cp:lastPrinted>2113-01-01T00:00:00Z</cp:lastPrinted>
  <dcterms:modified xsi:type="dcterms:W3CDTF">2023-08-11T08:47:08Z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054E95B701C74B4C92F2F87C461DBFAE</vt:lpwstr>
  </property>
</Properties>
</file>